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Cs w:val="0"/>
          <w:color w:val="000000" w:themeColor="text1"/>
          <w:sz w:val="32"/>
          <w:szCs w:val="32"/>
          <w:lang w:val="hu-HU"/>
          <w14:textFill>
            <w14:solidFill>
              <w14:schemeClr w14:val="tx1"/>
            </w14:solidFill>
          </w14:textFill>
        </w:rPr>
      </w:pPr>
      <w:r>
        <w:rPr>
          <w:bCs w:val="0"/>
          <w:color w:val="000000" w:themeColor="text1"/>
          <w:sz w:val="32"/>
          <w:szCs w:val="32"/>
          <w:lang w:val="hu-HU"/>
          <w14:textFill>
            <w14:solidFill>
              <w14:schemeClr w14:val="tx1"/>
            </w14:solidFill>
          </w14:textFill>
        </w:rPr>
        <w:t xml:space="preserve">iRATKOZÁSI FELTÉTELEK </w:t>
      </w:r>
      <w:r>
        <w:rPr>
          <w:bCs w:val="0"/>
          <w:color w:val="000000" w:themeColor="text1"/>
          <w:lang w:val="hu-HU"/>
          <w14:textFill>
            <w14:solidFill>
              <w14:schemeClr w14:val="tx1"/>
            </w14:solidFill>
          </w14:textFill>
        </w:rPr>
        <w:fldChar w:fldCharType="begin"/>
      </w:r>
      <w:r>
        <w:rPr>
          <w:bCs w:val="0"/>
          <w:color w:val="000000" w:themeColor="text1"/>
          <w:lang w:val="hu-HU"/>
          <w14:textFill>
            <w14:solidFill>
              <w14:schemeClr w14:val="tx1"/>
            </w14:solidFill>
          </w14:textFill>
        </w:rPr>
        <w:instrText xml:space="preserve"> FILLIN  "Naslov - Cím (obavezno popuniti - kitöltése kötelező)"  \* MERGEFORMAT </w:instrText>
      </w:r>
      <w:r>
        <w:rPr>
          <w:bCs w:val="0"/>
          <w:color w:val="000000" w:themeColor="text1"/>
          <w:lang w:val="hu-HU"/>
          <w14:textFill>
            <w14:solidFill>
              <w14:schemeClr w14:val="tx1"/>
            </w14:solidFill>
          </w14:textFill>
        </w:rPr>
        <w:fldChar w:fldCharType="end"/>
      </w: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0 ÉS 36 ECTS KÖZÖTTI pontszámot elért elsőéves hallgatók</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Azoknak az elsőéves hallgatóknak, akik 0 és 36 ECTS közötti pontszámmal fejezték az évet, ismét be kell írniuk az elsőéves tantárgyakat, melyeknek záróvizsgáját nem tették le (nem iratkozhatnak be a II. évbe). Az újrairatkozás során maradnak ill. átkerülnek önköltségi beosztásba.</w:t>
      </w:r>
    </w:p>
    <w:p>
      <w:pPr>
        <w:jc w:val="both"/>
        <w:rPr>
          <w:color w:val="000000" w:themeColor="text1"/>
          <w:lang w:val="en"/>
          <w14:textFill>
            <w14:solidFill>
              <w14:schemeClr w14:val="tx1"/>
            </w14:solidFill>
          </w14:textFill>
        </w:rPr>
      </w:pPr>
      <w:r>
        <w:rPr>
          <w:color w:val="000000" w:themeColor="text1"/>
          <w:lang w:val="hu-HU"/>
          <w14:textFill>
            <w14:solidFill>
              <w14:schemeClr w14:val="tx1"/>
            </w14:solidFill>
          </w14:textFill>
        </w:rPr>
        <w:t xml:space="preserve">A kötelező tantárgyakat </w:t>
      </w:r>
      <w:r>
        <w:rPr>
          <w:color w:val="000000" w:themeColor="text1"/>
          <w:lang w:val="en"/>
          <w14:textFill>
            <w14:solidFill>
              <w14:schemeClr w14:val="tx1"/>
            </w14:solidFill>
          </w14:textFill>
        </w:rPr>
        <w:t>újra</w:t>
      </w:r>
      <w:r>
        <w:rPr>
          <w:color w:val="000000" w:themeColor="text1"/>
          <w:lang w:val="hu-HU"/>
          <w14:textFill>
            <w14:solidFill>
              <w14:schemeClr w14:val="tx1"/>
            </w14:solidFill>
          </w14:textFill>
        </w:rPr>
        <w:t xml:space="preserve"> be kell írni</w:t>
      </w:r>
      <w:r>
        <w:rPr>
          <w:color w:val="000000" w:themeColor="text1"/>
          <w:lang w:val="en"/>
          <w14:textFill>
            <w14:solidFill>
              <w14:schemeClr w14:val="tx1"/>
            </w14:solidFill>
          </w14:textFill>
        </w:rPr>
        <w:t>,</w:t>
      </w:r>
      <w:r>
        <w:rPr>
          <w:color w:val="000000" w:themeColor="text1"/>
          <w:lang w:val="hu-HU"/>
          <w14:textFill>
            <w14:solidFill>
              <w14:schemeClr w14:val="tx1"/>
            </w14:solidFill>
          </w14:textFill>
        </w:rPr>
        <w:t xml:space="preserve"> a kötelező 60 ECTS összpontszám </w:t>
      </w:r>
      <w:r>
        <w:rPr>
          <w:color w:val="000000" w:themeColor="text1"/>
          <w:lang w:val="en"/>
          <w14:textFill>
            <w14:solidFill>
              <w14:schemeClr w14:val="tx1"/>
            </w14:solidFill>
          </w14:textFill>
        </w:rPr>
        <w:t>értékében.</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ismét bejelentett tantárgyak előadásait újra kell hallgatni. </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követve az EREF-en található utasítást a</w:t>
      </w:r>
      <w:r>
        <w:rPr>
          <w:bCs/>
          <w:color w:val="000000" w:themeColor="text1"/>
          <w:lang w:val="en"/>
          <w14:textFill>
            <w14:solidFill>
              <w14:schemeClr w14:val="tx1"/>
            </w14:solidFill>
          </w14:textFill>
        </w:rPr>
        <w:t>z</w:t>
      </w:r>
      <w:r>
        <w:rPr>
          <w:bCs/>
          <w:color w:val="000000" w:themeColor="text1"/>
          <w:lang w:val="hu-HU"/>
          <w14:textFill>
            <w14:solidFill>
              <w14:schemeClr w14:val="tx1"/>
            </w14:solidFill>
          </w14:textFill>
        </w:rPr>
        <w:t xml:space="preserve">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1"/>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w:t>
      </w:r>
    </w:p>
    <w:p>
      <w:pPr>
        <w:numPr>
          <w:ilvl w:val="0"/>
          <w:numId w:val="1"/>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 tandíj</w:t>
      </w:r>
      <w:r>
        <w:rPr>
          <w:color w:val="000000" w:themeColor="text1"/>
          <w:lang w:val="hu-HU"/>
          <w14:textFill>
            <w14:solidFill>
              <w14:schemeClr w14:val="tx1"/>
            </w14:solidFill>
          </w14:textFill>
        </w:rPr>
        <w:br w:type="textWrapping"/>
      </w:r>
      <w:r>
        <w:rPr>
          <w:color w:val="000000" w:themeColor="text1"/>
          <w:lang w:val="hu-HU"/>
          <w14:textFill>
            <w14:solidFill>
              <w14:schemeClr w14:val="tx1"/>
            </w14:solidFill>
          </w14:textFill>
        </w:rPr>
        <w:t xml:space="preserve">A hallgató annyi ECTS pontszámnak megfelelő összeget fizet be, amennyit újra bejelentett </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numPr>
          <w:ilvl w:val="1"/>
          <w:numId w:val="1"/>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egy részletes fizetés esetén: Amennyiben a hallgató az első évben 27 ECTS pontszámot ért el a kötelező 60 pontszámból, akkor a maradék 33 ECTS összegét fizeti (60 – 27 = 33 ECTS), azaz </w:t>
      </w:r>
      <w:r>
        <w:rPr>
          <w:rFonts w:hint="default"/>
          <w:color w:val="000000" w:themeColor="text1"/>
          <w:lang w:val="en-US"/>
          <w14:textFill>
            <w14:solidFill>
              <w14:schemeClr w14:val="tx1"/>
            </w14:solidFill>
          </w14:textFill>
        </w:rPr>
        <w:t>53.625</w:t>
      </w:r>
      <w:r>
        <w:rPr>
          <w:color w:val="000000" w:themeColor="text1"/>
          <w:lang w:val="hu-HU"/>
          <w14:textFill>
            <w14:solidFill>
              <w14:schemeClr w14:val="tx1"/>
            </w14:solidFill>
          </w14:textFill>
        </w:rPr>
        <w:t xml:space="preserve">,00 dinárt (33 ECTS x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 </w:t>
      </w:r>
      <w:r>
        <w:rPr>
          <w:rFonts w:hint="default"/>
          <w:color w:val="000000" w:themeColor="text1"/>
          <w:lang w:val="en-US"/>
          <w14:textFill>
            <w14:solidFill>
              <w14:schemeClr w14:val="tx1"/>
            </w14:solidFill>
          </w14:textFill>
        </w:rPr>
        <w:t>53.625</w:t>
      </w:r>
      <w:r>
        <w:rPr>
          <w:color w:val="000000" w:themeColor="text1"/>
          <w:lang w:val="hu-HU"/>
          <w14:textFill>
            <w14:solidFill>
              <w14:schemeClr w14:val="tx1"/>
            </w14:solidFill>
          </w14:textFill>
        </w:rPr>
        <w:t>,00 RSD). Az összeget egészében kell befizetni az iratkozás során.</w:t>
      </w:r>
    </w:p>
    <w:p>
      <w:pPr>
        <w:numPr>
          <w:ilvl w:val="1"/>
          <w:numId w:val="1"/>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két részletes fizetés esetén: Amennyiben a hallgató az első évben 27 ECTS pontszámot ért el a kötelező 60 pontszámból, akkor a maradék 33 ECTS összegét fizeti (60 – 27 = 33 ECTS), azaz </w:t>
      </w:r>
      <w:r>
        <w:rPr>
          <w:color w:val="000000" w:themeColor="text1"/>
          <w:lang w:val="en"/>
          <w14:textFill>
            <w14:solidFill>
              <w14:schemeClr w14:val="tx1"/>
            </w14:solidFill>
          </w14:textFill>
        </w:rPr>
        <w:t>6</w:t>
      </w:r>
      <w:r>
        <w:rPr>
          <w:rFonts w:hint="default"/>
          <w:color w:val="000000" w:themeColor="text1"/>
          <w:lang w:val="en-US"/>
          <w14:textFill>
            <w14:solidFill>
              <w14:schemeClr w14:val="tx1"/>
            </w14:solidFill>
          </w14:textFill>
        </w:rPr>
        <w:t>2.865</w:t>
      </w:r>
      <w:r>
        <w:rPr>
          <w:color w:val="000000" w:themeColor="text1"/>
          <w:lang w:val="hu-HU"/>
          <w14:textFill>
            <w14:solidFill>
              <w14:schemeClr w14:val="tx1"/>
            </w14:solidFill>
          </w14:textFill>
        </w:rPr>
        <w:t xml:space="preserve">,00 dinárt (33 ECTS x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 </w:t>
      </w:r>
      <w:r>
        <w:rPr>
          <w:color w:val="000000" w:themeColor="text1"/>
          <w:lang w:val="en"/>
          <w14:textFill>
            <w14:solidFill>
              <w14:schemeClr w14:val="tx1"/>
            </w14:solidFill>
          </w14:textFill>
        </w:rPr>
        <w:t>6</w:t>
      </w:r>
      <w:r>
        <w:rPr>
          <w:rFonts w:hint="default"/>
          <w:color w:val="000000" w:themeColor="text1"/>
          <w:lang w:val="en-US"/>
          <w14:textFill>
            <w14:solidFill>
              <w14:schemeClr w14:val="tx1"/>
            </w14:solidFill>
          </w14:textFill>
        </w:rPr>
        <w:t>2.865</w:t>
      </w:r>
      <w:r>
        <w:rPr>
          <w:color w:val="000000" w:themeColor="text1"/>
          <w:lang w:val="hu-HU"/>
          <w14:textFill>
            <w14:solidFill>
              <w14:schemeClr w14:val="tx1"/>
            </w14:solidFill>
          </w14:textFill>
        </w:rPr>
        <w:t>,00 RSD). Az összeg felét az iratkozás során be kell fizetni. A hátramaradt összeget a téli szemeszter bejegyzéskor kell kifizetni.</w:t>
      </w:r>
    </w:p>
    <w:p>
      <w:pPr>
        <w:spacing w:before="0" w:after="0" w:line="240" w:lineRule="auto"/>
        <w:rPr>
          <w:b/>
          <w:bCs/>
          <w:color w:val="000000" w:themeColor="text1"/>
          <w:lang w:val="hu-HU"/>
          <w14:textFill>
            <w14:solidFill>
              <w14:schemeClr w14:val="tx1"/>
            </w14:solidFill>
          </w14:textFill>
        </w:rPr>
      </w:pPr>
    </w:p>
    <w:p>
      <w:pPr>
        <w:spacing w:before="0" w:after="0" w:line="240" w:lineRule="auto"/>
        <w:ind w:firstLine="720"/>
        <w:rPr>
          <w:b/>
          <w:bCs/>
          <w:color w:val="000000" w:themeColor="text1"/>
          <w:lang w:val="hu-HU"/>
          <w14:textFill>
            <w14:solidFill>
              <w14:schemeClr w14:val="tx1"/>
            </w14:solidFill>
          </w14:textFill>
        </w:rPr>
      </w:pPr>
    </w:p>
    <w:p>
      <w:pPr>
        <w:spacing w:before="0" w:after="0" w:line="240" w:lineRule="auto"/>
        <w:ind w:firstLine="720"/>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br w:type="page"/>
      </w:r>
    </w:p>
    <w:p>
      <w:pPr>
        <w:spacing w:before="0" w:after="0" w:line="240" w:lineRule="auto"/>
        <w:rPr>
          <w:color w:val="000000" w:themeColor="text1"/>
          <w:lang w:val="hu-HU"/>
          <w14:textFill>
            <w14:solidFill>
              <w14:schemeClr w14:val="tx1"/>
            </w14:solidFill>
          </w14:textFill>
        </w:rPr>
      </w:pP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37 ÉS 47 ECTS KÖZÖTTI pontszámot elért elsőéves hallgatók</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 az elsőéves hallgatók, akik 37 és 47 ECTS közötti pontszámmal fejezték az évet, maradnak ill. átkerülnek önköltséges státuszba. A hallgatóknak ismét be kell </w:t>
      </w:r>
      <w:r>
        <w:rPr>
          <w:color w:val="000000" w:themeColor="text1"/>
          <w:lang w:val="en"/>
          <w14:textFill>
            <w14:solidFill>
              <w14:schemeClr w14:val="tx1"/>
            </w14:solidFill>
          </w14:textFill>
        </w:rPr>
        <w:t>í</w:t>
      </w:r>
      <w:r>
        <w:rPr>
          <w:color w:val="000000" w:themeColor="text1"/>
          <w:lang w:val="hu-HU"/>
          <w14:textFill>
            <w14:solidFill>
              <w14:schemeClr w14:val="tx1"/>
            </w14:solidFill>
          </w14:textFill>
        </w:rPr>
        <w:t xml:space="preserve">rniuk azokat az elsőéves tantárgyakat melyeknek záróvizsgáját nem tették le, illetve annyi tantárgyat a második évről, hogy a beírt tantárgyak összpontszáma legalább 60 ECTS legyen. </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PÉLDA: Amennyiben a hallgató az év folyamán 39 ECTS pontszámot ért el, akkor az első évről 21 ECTS pontszám értékben jelent be tantágyat (60 – 39 = 21 ECTS), míg a második évről 39 ECTS pontszám értékben (21 + 39 = 60 ECTS).</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elsőéves kötelező tantárgyakat, melyeknek záróvizsgáját a hallgató nem tette le, </w:t>
      </w:r>
      <w:r>
        <w:rPr>
          <w:color w:val="000000" w:themeColor="text1"/>
          <w:lang w:val="en"/>
          <w14:textFill>
            <w14:solidFill>
              <w14:schemeClr w14:val="tx1"/>
            </w14:solidFill>
          </w14:textFill>
        </w:rPr>
        <w:t>újra</w:t>
      </w:r>
      <w:r>
        <w:rPr>
          <w:color w:val="000000" w:themeColor="text1"/>
          <w:lang w:val="hu-HU"/>
          <w14:textFill>
            <w14:solidFill>
              <w14:schemeClr w14:val="tx1"/>
            </w14:solidFill>
          </w14:textFill>
        </w:rPr>
        <w:t xml:space="preserve"> be kell írni</w:t>
      </w:r>
      <w:r>
        <w:rPr>
          <w:color w:val="000000" w:themeColor="text1"/>
          <w:lang w:val="en"/>
          <w14:textFill>
            <w14:solidFill>
              <w14:schemeClr w14:val="tx1"/>
            </w14:solidFill>
          </w14:textFill>
        </w:rPr>
        <w:t xml:space="preserve">, </w:t>
      </w:r>
      <w:r>
        <w:rPr>
          <w:color w:val="000000" w:themeColor="text1"/>
          <w:lang w:val="hu-HU"/>
          <w14:textFill>
            <w14:solidFill>
              <w14:schemeClr w14:val="tx1"/>
            </w14:solidFill>
          </w14:textFill>
        </w:rPr>
        <w:t xml:space="preserve">a kötelező 60 ECTS összpontszám </w:t>
      </w:r>
      <w:r>
        <w:rPr>
          <w:color w:val="000000" w:themeColor="text1"/>
          <w:lang w:val="en"/>
          <w14:textFill>
            <w14:solidFill>
              <w14:schemeClr w14:val="tx1"/>
            </w14:solidFill>
          </w14:textFill>
        </w:rPr>
        <w:t>értékében</w:t>
      </w:r>
      <w:r>
        <w:rPr>
          <w:color w:val="000000" w:themeColor="text1"/>
          <w:lang w:val="hu-HU"/>
          <w14:textFill>
            <w14:solidFill>
              <w14:schemeClr w14:val="tx1"/>
            </w14:solidFill>
          </w14:textFill>
        </w:rPr>
        <w:t>.</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 második évről a hallgató elsősorban a kötelező tantárgyakat írja be.</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követve az EREF-en található utasítást a</w:t>
      </w:r>
      <w:r>
        <w:rPr>
          <w:bCs/>
          <w:color w:val="000000" w:themeColor="text1"/>
          <w:lang w:val="en"/>
          <w14:textFill>
            <w14:solidFill>
              <w14:schemeClr w14:val="tx1"/>
            </w14:solidFill>
          </w14:textFill>
        </w:rPr>
        <w:t>z</w:t>
      </w:r>
      <w:r>
        <w:rPr>
          <w:bCs/>
          <w:color w:val="000000" w:themeColor="text1"/>
          <w:lang w:val="hu-HU"/>
          <w14:textFill>
            <w14:solidFill>
              <w14:schemeClr w14:val="tx1"/>
            </w14:solidFill>
          </w14:textFill>
        </w:rPr>
        <w:t xml:space="preserve">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2"/>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w:t>
      </w:r>
    </w:p>
    <w:p>
      <w:pPr>
        <w:numPr>
          <w:ilvl w:val="0"/>
          <w:numId w:val="2"/>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 tandíj</w:t>
      </w:r>
    </w:p>
    <w:p>
      <w:pPr>
        <w:numPr>
          <w:ilvl w:val="1"/>
          <w:numId w:val="3"/>
        </w:numPr>
        <w:spacing w:before="0" w:after="0" w:line="240" w:lineRule="auto"/>
        <w:rPr>
          <w:color w:val="000000" w:themeColor="text1"/>
          <w:lang w:val="hu-HU"/>
          <w14:textFill>
            <w14:solidFill>
              <w14:schemeClr w14:val="tx1"/>
            </w14:solidFill>
          </w14:textFill>
        </w:rPr>
      </w:pPr>
      <w:r>
        <w:rPr>
          <w:color w:val="000000" w:themeColor="text1"/>
          <w:lang w:val="en-US"/>
          <w14:textFill>
            <w14:solidFill>
              <w14:schemeClr w14:val="tx1"/>
            </w14:solidFill>
          </w14:textFill>
        </w:rPr>
        <w:t>97.500,00</w:t>
      </w:r>
      <w:r>
        <w:rPr>
          <w:color w:val="000000" w:themeColor="text1"/>
          <w:lang w:val="hu-HU"/>
          <w14:textFill>
            <w14:solidFill>
              <w14:schemeClr w14:val="tx1"/>
            </w14:solidFill>
          </w14:textFill>
        </w:rPr>
        <w:t xml:space="preserve"> dinár (amennyiben egy részletben fizeti a hallgató az iskolaév beírásakor)</w:t>
      </w:r>
    </w:p>
    <w:p>
      <w:pPr>
        <w:numPr>
          <w:ilvl w:val="1"/>
          <w:numId w:val="3"/>
        </w:numPr>
        <w:spacing w:before="0" w:after="0" w:line="240" w:lineRule="auto"/>
        <w:rPr>
          <w:color w:val="000000" w:themeColor="text1"/>
          <w:lang w:val="hu-HU"/>
          <w14:textFill>
            <w14:solidFill>
              <w14:schemeClr w14:val="tx1"/>
            </w14:solidFill>
          </w14:textFill>
        </w:rPr>
      </w:pPr>
      <w:r>
        <w:rPr>
          <w:color w:val="000000" w:themeColor="text1"/>
          <w:lang w:val="en-US"/>
          <w14:textFill>
            <w14:solidFill>
              <w14:schemeClr w14:val="tx1"/>
            </w14:solidFill>
          </w14:textFill>
        </w:rPr>
        <w:t>114.300</w:t>
      </w:r>
      <w:r>
        <w:rPr>
          <w:color w:val="000000" w:themeColor="text1"/>
          <w:lang w:val="hu-HU"/>
          <w14:textFill>
            <w14:solidFill>
              <w14:schemeClr w14:val="tx1"/>
            </w14:solidFill>
          </w14:textFill>
        </w:rPr>
        <w:t xml:space="preserve"> dinár (amennyibe két részletben fizeti a hallgató; az iskolaév beírásakor az első részletet, és a téli szemeszter bejelentésekor a második részletet)</w:t>
      </w:r>
    </w:p>
    <w:p>
      <w:pPr>
        <w:rPr>
          <w:color w:val="000000" w:themeColor="text1"/>
          <w:lang w:val="hu-HU"/>
          <w14:textFill>
            <w14:solidFill>
              <w14:schemeClr w14:val="tx1"/>
            </w14:solidFill>
          </w14:textFill>
        </w:rPr>
      </w:pPr>
    </w:p>
    <w:p>
      <w:pPr>
        <w:rPr>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48 ÉS 60 ECTS KÖZÖTTI pontszámot elért elsőéves hallgatók</w:t>
      </w:r>
    </w:p>
    <w:p>
      <w:pPr>
        <w:spacing w:before="0" w:after="0"/>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 az elsőéves hallgatók, akik 48 és 60 ECTS közötti pontszámmal fejezték az évet, beírhatják a második tanévet és maradnak ill. átkerülnek államköltségi beosztásban (az állam fizeti a tandíjat). Azoknak az elsőéves hallgatóknak, akik nem tisztázták le az első évet (nem értek el 60 ECTS pontszámot) ismét be kell írniuk a visszamaradt tantárgyakat, melyeknek záróvizsgáit nem tették le. Ebben az esetben a visszamaradt tantárgyak költségeit a hallgatók viselik (nem támogatja az állam). </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Amennyiben a hallgató az év folyamán 54 ECTS pontszámot ért el, akkor az első évről 6 ECTS pontszám értékben jelent be tantágyat (60 – 54 = 6 ECTS). </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elsőéves kötelező tantárgyakat, melyeknek záróvizsgáját a hallgató nem tette le, </w:t>
      </w:r>
      <w:r>
        <w:rPr>
          <w:color w:val="000000" w:themeColor="text1"/>
          <w:lang w:val="en"/>
          <w14:textFill>
            <w14:solidFill>
              <w14:schemeClr w14:val="tx1"/>
            </w14:solidFill>
          </w14:textFill>
        </w:rPr>
        <w:t>újra</w:t>
      </w:r>
      <w:r>
        <w:rPr>
          <w:color w:val="000000" w:themeColor="text1"/>
          <w:lang w:val="hu-HU"/>
          <w14:textFill>
            <w14:solidFill>
              <w14:schemeClr w14:val="tx1"/>
            </w14:solidFill>
          </w14:textFill>
        </w:rPr>
        <w:t xml:space="preserve"> be kell jelenteni a kötelező 60 ECTS </w:t>
      </w:r>
      <w:r>
        <w:rPr>
          <w:color w:val="000000" w:themeColor="text1"/>
          <w:lang w:val="en"/>
          <w14:textFill>
            <w14:solidFill>
              <w14:schemeClr w14:val="tx1"/>
            </w14:solidFill>
          </w14:textFill>
        </w:rPr>
        <w:t>értékében</w:t>
      </w:r>
      <w:r>
        <w:rPr>
          <w:color w:val="000000" w:themeColor="text1"/>
          <w:lang w:val="hu-HU"/>
          <w14:textFill>
            <w14:solidFill>
              <w14:schemeClr w14:val="tx1"/>
            </w14:solidFill>
          </w14:textFill>
        </w:rPr>
        <w:t xml:space="preserve">. </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Mivel a hallgató állami költségen folytatja tanulmányait, ezért köteles egészében lehallgatni a második tanévet (minden kötelező tantárgyat, ill. annyi választott tantárgyat, ahány szükséges a 60 ECTS összpontszám eléréséhez). 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követve az EREF-en található utasítást a</w:t>
      </w:r>
      <w:r>
        <w:rPr>
          <w:bCs/>
          <w:color w:val="000000" w:themeColor="text1"/>
          <w:lang w:val="en"/>
          <w14:textFill>
            <w14:solidFill>
              <w14:schemeClr w14:val="tx1"/>
            </w14:solidFill>
          </w14:textFill>
        </w:rPr>
        <w:t>z</w:t>
      </w:r>
      <w:r>
        <w:rPr>
          <w:bCs/>
          <w:color w:val="000000" w:themeColor="text1"/>
          <w:lang w:val="hu-HU"/>
          <w14:textFill>
            <w14:solidFill>
              <w14:schemeClr w14:val="tx1"/>
            </w14:solidFill>
          </w14:textFill>
        </w:rPr>
        <w:t xml:space="preserve">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4"/>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w:t>
      </w:r>
    </w:p>
    <w:p>
      <w:pPr>
        <w:numPr>
          <w:ilvl w:val="0"/>
          <w:numId w:val="4"/>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első évről bejelentett tantárgyak költségei</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 hallgató annyi ECTS pontszámnak megfelelő összeget fizet be, amennyit újra bejelentett </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numPr>
          <w:ilvl w:val="1"/>
          <w:numId w:val="4"/>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egy részletes fizetés esetén: Amennyiben a hallgató az első évből 4 ECTS pontszámmal terhelt tantárgyat jelent be, akkor </w:t>
      </w:r>
      <w:r>
        <w:rPr>
          <w:color w:val="000000" w:themeColor="text1"/>
          <w:lang w:val="en"/>
          <w14:textFill>
            <w14:solidFill>
              <w14:schemeClr w14:val="tx1"/>
            </w14:solidFill>
          </w14:textFill>
        </w:rPr>
        <w:t>6</w:t>
      </w:r>
      <w:r>
        <w:rPr>
          <w:color w:val="000000" w:themeColor="text1"/>
          <w:lang w:val="hu-HU"/>
          <w14:textFill>
            <w14:solidFill>
              <w14:schemeClr w14:val="tx1"/>
            </w14:solidFill>
          </w14:textFill>
        </w:rPr>
        <w:t>.</w:t>
      </w:r>
      <w:r>
        <w:rPr>
          <w:rFonts w:hint="default"/>
          <w:color w:val="000000" w:themeColor="text1"/>
          <w:lang w:val="en-US"/>
          <w14:textFill>
            <w14:solidFill>
              <w14:schemeClr w14:val="tx1"/>
            </w14:solidFill>
          </w14:textFill>
        </w:rPr>
        <w:t>50</w:t>
      </w:r>
      <w:r>
        <w:rPr>
          <w:color w:val="000000" w:themeColor="text1"/>
          <w:lang w:val="en"/>
          <w14:textFill>
            <w14:solidFill>
              <w14:schemeClr w14:val="tx1"/>
            </w14:solidFill>
          </w14:textFill>
        </w:rPr>
        <w:t>0</w:t>
      </w:r>
      <w:r>
        <w:rPr>
          <w:color w:val="000000" w:themeColor="text1"/>
          <w:lang w:val="hu-HU"/>
          <w14:textFill>
            <w14:solidFill>
              <w14:schemeClr w14:val="tx1"/>
            </w14:solidFill>
          </w14:textFill>
        </w:rPr>
        <w:t xml:space="preserve">,00 dinárt fizet (4 ECTS x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 </w:t>
      </w:r>
      <w:r>
        <w:rPr>
          <w:color w:val="000000" w:themeColor="text1"/>
          <w:lang w:val="en"/>
          <w14:textFill>
            <w14:solidFill>
              <w14:schemeClr w14:val="tx1"/>
            </w14:solidFill>
          </w14:textFill>
        </w:rPr>
        <w:t>6</w:t>
      </w:r>
      <w:r>
        <w:rPr>
          <w:color w:val="000000" w:themeColor="text1"/>
          <w:lang w:val="hu-HU"/>
          <w14:textFill>
            <w14:solidFill>
              <w14:schemeClr w14:val="tx1"/>
            </w14:solidFill>
          </w14:textFill>
        </w:rPr>
        <w:t>.</w:t>
      </w:r>
      <w:r>
        <w:rPr>
          <w:rFonts w:hint="default"/>
          <w:color w:val="000000" w:themeColor="text1"/>
          <w:lang w:val="en-US"/>
          <w14:textFill>
            <w14:solidFill>
              <w14:schemeClr w14:val="tx1"/>
            </w14:solidFill>
          </w14:textFill>
        </w:rPr>
        <w:t>50</w:t>
      </w:r>
      <w:r>
        <w:rPr>
          <w:color w:val="000000" w:themeColor="text1"/>
          <w:lang w:val="en"/>
          <w14:textFill>
            <w14:solidFill>
              <w14:schemeClr w14:val="tx1"/>
            </w14:solidFill>
          </w14:textFill>
        </w:rPr>
        <w:t>0</w:t>
      </w:r>
      <w:r>
        <w:rPr>
          <w:color w:val="000000" w:themeColor="text1"/>
          <w:lang w:val="hu-HU"/>
          <w14:textFill>
            <w14:solidFill>
              <w14:schemeClr w14:val="tx1"/>
            </w14:solidFill>
          </w14:textFill>
        </w:rPr>
        <w:t>,00 RSD). Az összeget egészében kell befizetni az iratkozás során.</w:t>
      </w:r>
    </w:p>
    <w:p>
      <w:pPr>
        <w:numPr>
          <w:ilvl w:val="1"/>
          <w:numId w:val="4"/>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két részletes fizetés esetén: Amennyiben a hallgató az első évbőn 4 ECTS pontszámmal terhelt tantárgyat jelent be, akkor </w:t>
      </w:r>
      <w:r>
        <w:rPr>
          <w:color w:val="000000" w:themeColor="text1"/>
          <w:lang w:val="en"/>
          <w14:textFill>
            <w14:solidFill>
              <w14:schemeClr w14:val="tx1"/>
            </w14:solidFill>
          </w14:textFill>
        </w:rPr>
        <w:t>7</w:t>
      </w:r>
      <w:r>
        <w:rPr>
          <w:color w:val="000000" w:themeColor="text1"/>
          <w:lang w:val="hu-HU"/>
          <w14:textFill>
            <w14:solidFill>
              <w14:schemeClr w14:val="tx1"/>
            </w14:solidFill>
          </w14:textFill>
        </w:rPr>
        <w:t>.</w:t>
      </w:r>
      <w:r>
        <w:rPr>
          <w:rFonts w:hint="default"/>
          <w:color w:val="000000" w:themeColor="text1"/>
          <w:lang w:val="en-US"/>
          <w14:textFill>
            <w14:solidFill>
              <w14:schemeClr w14:val="tx1"/>
            </w14:solidFill>
          </w14:textFill>
        </w:rPr>
        <w:t>62</w:t>
      </w:r>
      <w:r>
        <w:rPr>
          <w:color w:val="000000" w:themeColor="text1"/>
          <w:lang w:val="en"/>
          <w14:textFill>
            <w14:solidFill>
              <w14:schemeClr w14:val="tx1"/>
            </w14:solidFill>
          </w14:textFill>
        </w:rPr>
        <w:t>0</w:t>
      </w:r>
      <w:r>
        <w:rPr>
          <w:color w:val="000000" w:themeColor="text1"/>
          <w:lang w:val="hu-HU"/>
          <w14:textFill>
            <w14:solidFill>
              <w14:schemeClr w14:val="tx1"/>
            </w14:solidFill>
          </w14:textFill>
        </w:rPr>
        <w:t xml:space="preserve">,00 dinárt fizet (4 ECTS x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 </w:t>
      </w:r>
      <w:r>
        <w:rPr>
          <w:color w:val="000000" w:themeColor="text1"/>
          <w:lang w:val="en"/>
          <w14:textFill>
            <w14:solidFill>
              <w14:schemeClr w14:val="tx1"/>
            </w14:solidFill>
          </w14:textFill>
        </w:rPr>
        <w:t>7</w:t>
      </w:r>
      <w:r>
        <w:rPr>
          <w:color w:val="000000" w:themeColor="text1"/>
          <w:lang w:val="hu-HU"/>
          <w14:textFill>
            <w14:solidFill>
              <w14:schemeClr w14:val="tx1"/>
            </w14:solidFill>
          </w14:textFill>
        </w:rPr>
        <w:t>.</w:t>
      </w:r>
      <w:r>
        <w:rPr>
          <w:rFonts w:hint="default"/>
          <w:color w:val="000000" w:themeColor="text1"/>
          <w:lang w:val="en-US"/>
          <w14:textFill>
            <w14:solidFill>
              <w14:schemeClr w14:val="tx1"/>
            </w14:solidFill>
          </w14:textFill>
        </w:rPr>
        <w:t>62</w:t>
      </w:r>
      <w:r>
        <w:rPr>
          <w:color w:val="000000" w:themeColor="text1"/>
          <w:lang w:val="en"/>
          <w14:textFill>
            <w14:solidFill>
              <w14:schemeClr w14:val="tx1"/>
            </w14:solidFill>
          </w14:textFill>
        </w:rPr>
        <w:t>0</w:t>
      </w:r>
      <w:r>
        <w:rPr>
          <w:color w:val="000000" w:themeColor="text1"/>
          <w:lang w:val="hu-HU"/>
          <w14:textFill>
            <w14:solidFill>
              <w14:schemeClr w14:val="tx1"/>
            </w14:solidFill>
          </w14:textFill>
        </w:rPr>
        <w:t>,00 RSD). Az összeg felét az iratkozás során kell befizetni. A hátramaradt összeget a téli szemeszter bejegyzéskor kell kifizetni.</w:t>
      </w:r>
    </w:p>
    <w:p>
      <w:pPr>
        <w:spacing w:before="0" w:after="0" w:line="240" w:lineRule="auto"/>
        <w:ind w:firstLine="720"/>
        <w:rPr>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0 ÉS 36 ECTS KÖZÖTTI pontszámot elért Másodéves hallgatók</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Azoknak az másodéves hallgatóknak, akik 0 és 36 ECTS közötti pontszámmal fejezték az évet, ismét be kell írniuk azokat az első és másodéves tantárgyakat melyeknek záróvizsgáját nem tették le (nem iratkozhatnak be a III. évbe). Az újrairatkozás során maradnak ill. átkerülnek önköltségi beosztásban.</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első és másodéves kötelező tantárgyakat elengedhetetlenül be kell írni. A le nem tisztázott választható tantárgyakat ismét be lehet jelenteni, illetve azok helyett újat választhat a hallgató (a választás feltétele, hogy az ECTS összpontszám összhangban legyen a szakirány követelményeivel).</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ismét bejelentett tantárgyak előadásait újra kell hallgatni. Amennyiben a tantervben két előadás fedi egymást, a hallgató kötelességét a tantárgyfelelős tanárral egyezteti. </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követve az EREF-en található utasítást a</w:t>
      </w:r>
      <w:r>
        <w:rPr>
          <w:bCs/>
          <w:color w:val="000000" w:themeColor="text1"/>
          <w:lang w:val="en"/>
          <w14:textFill>
            <w14:solidFill>
              <w14:schemeClr w14:val="tx1"/>
            </w14:solidFill>
          </w14:textFill>
        </w:rPr>
        <w:t>z</w:t>
      </w:r>
      <w:r>
        <w:rPr>
          <w:bCs/>
          <w:color w:val="000000" w:themeColor="text1"/>
          <w:lang w:val="hu-HU"/>
          <w14:textFill>
            <w14:solidFill>
              <w14:schemeClr w14:val="tx1"/>
            </w14:solidFill>
          </w14:textFill>
        </w:rPr>
        <w:t xml:space="preserve">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5"/>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 </w:t>
      </w:r>
    </w:p>
    <w:p>
      <w:pPr>
        <w:numPr>
          <w:ilvl w:val="0"/>
          <w:numId w:val="5"/>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 tandíj</w:t>
      </w:r>
      <w:r>
        <w:rPr>
          <w:color w:val="000000" w:themeColor="text1"/>
          <w:lang w:val="hu-HU"/>
          <w14:textFill>
            <w14:solidFill>
              <w14:schemeClr w14:val="tx1"/>
            </w14:solidFill>
          </w14:textFill>
        </w:rPr>
        <w:br w:type="textWrapping"/>
      </w:r>
      <w:r>
        <w:rPr>
          <w:color w:val="000000" w:themeColor="text1"/>
          <w:lang w:val="hu-HU"/>
          <w14:textFill>
            <w14:solidFill>
              <w14:schemeClr w14:val="tx1"/>
            </w14:solidFill>
          </w14:textFill>
        </w:rPr>
        <w:t xml:space="preserve">A hallgató annyi ECTS pontszámnak megfelelő összeget fizet be, amennyit újra bejelentett </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rPr>
          <w:color w:val="000000" w:themeColor="text1"/>
          <w:lang w:val="hu-HU"/>
          <w14:textFill>
            <w14:solidFill>
              <w14:schemeClr w14:val="tx1"/>
            </w14:solidFill>
          </w14:textFill>
        </w:rPr>
      </w:pPr>
    </w:p>
    <w:p>
      <w:pPr>
        <w:rPr>
          <w:color w:val="000000" w:themeColor="text1"/>
          <w:lang w:val="hu-HU"/>
          <w14:textFill>
            <w14:solidFill>
              <w14:schemeClr w14:val="tx1"/>
            </w14:solidFill>
          </w14:textFill>
        </w:rPr>
      </w:pPr>
    </w:p>
    <w:p>
      <w:pPr>
        <w:rPr>
          <w:color w:val="000000" w:themeColor="text1"/>
          <w:lang w:val="hu-HU"/>
          <w14:textFill>
            <w14:solidFill>
              <w14:schemeClr w14:val="tx1"/>
            </w14:solidFill>
          </w14:textFill>
        </w:rPr>
      </w:pPr>
    </w:p>
    <w:p>
      <w:pPr>
        <w:rPr>
          <w:color w:val="000000" w:themeColor="text1"/>
          <w:lang w:val="hu-HU"/>
          <w14:textFill>
            <w14:solidFill>
              <w14:schemeClr w14:val="tx1"/>
            </w14:solidFill>
          </w14:textFill>
        </w:rPr>
      </w:pPr>
    </w:p>
    <w:p>
      <w:pPr>
        <w:rPr>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37 ÉS 47 ECTS KÖZÖTTI pontszámot elért másodéves hallgatók</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 a másodéves hallgatók, akik 37 és 47 ECTS közötti pontszámmal fejezték az évet, maradnak ill. átkerülnek önköltségi beosztásban. A hallgatóknak ismét be kell írniuk azokat az első és másodéves tantárgyakat melyeknek záróvizsgáját nem tették le, illetve annyi tantárgyat a harmadik évről, hogy a beírt tantárgyak összpontszáma legalább 60 ECTS legyen. </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PÉLDA: Amennyiben a hallgató az előző tanév tanévben 39 ECTS pontszámot ért el, azt megelőzően pedig 46 ECTS pontszámot, vagyis összesen 85 ECTS pontszámmal rendelkezik, akkor az első és második évről 35 ECTS pontszám értékben jelent be tantágyat (120 – 85 = 35 ECTS), míg a harmadik évről 25 ECTS pontszám értékben (35 + 25 = 60 ECTS).</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első és másodéves kötelező tantárgyakat, melyeknek záróvizsgáját a hallgató nem tette le, elengedhetetlenül be kell jelenteni. A le nem tisztázott választható tantárgyakat ismét be lehet jelenteni, illetve azok helyett újat választhat a hallgató (a választás feltétele, hogy az ECTS összpontszám összhangban legyen a szakirány követelményeivel).</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 harmadik évről a hallgató elsősorban a kötelező tantárgyakat írja be.</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xml:space="preserve">, követve az EREF-en található utasítást a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6"/>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 </w:t>
      </w:r>
    </w:p>
    <w:p>
      <w:pPr>
        <w:numPr>
          <w:ilvl w:val="0"/>
          <w:numId w:val="6"/>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 tandíj</w:t>
      </w:r>
    </w:p>
    <w:p>
      <w:pPr>
        <w:numPr>
          <w:ilvl w:val="1"/>
          <w:numId w:val="3"/>
        </w:numPr>
        <w:spacing w:before="0" w:after="0" w:line="240" w:lineRule="auto"/>
        <w:rPr>
          <w:color w:val="000000" w:themeColor="text1"/>
          <w:lang w:val="hu-HU"/>
          <w14:textFill>
            <w14:solidFill>
              <w14:schemeClr w14:val="tx1"/>
            </w14:solidFill>
          </w14:textFill>
        </w:rPr>
      </w:pPr>
      <w:r>
        <w:rPr>
          <w:color w:val="000000" w:themeColor="text1"/>
          <w:lang w:val="en-US"/>
          <w14:textFill>
            <w14:solidFill>
              <w14:schemeClr w14:val="tx1"/>
            </w14:solidFill>
          </w14:textFill>
        </w:rPr>
        <w:t>97.500,00</w:t>
      </w:r>
      <w:r>
        <w:rPr>
          <w:color w:val="000000" w:themeColor="text1"/>
          <w:lang w:val="hu-HU"/>
          <w14:textFill>
            <w14:solidFill>
              <w14:schemeClr w14:val="tx1"/>
            </w14:solidFill>
          </w14:textFill>
        </w:rPr>
        <w:t xml:space="preserve"> dinár (amennyiben egy részletben fizeti a hallgató az iskolaév beírásakor)</w:t>
      </w:r>
    </w:p>
    <w:p>
      <w:pPr>
        <w:numPr>
          <w:ilvl w:val="1"/>
          <w:numId w:val="3"/>
        </w:numPr>
        <w:spacing w:before="0" w:after="0" w:line="240" w:lineRule="auto"/>
        <w:rPr>
          <w:color w:val="000000" w:themeColor="text1"/>
          <w:lang w:val="hu-HU"/>
          <w14:textFill>
            <w14:solidFill>
              <w14:schemeClr w14:val="tx1"/>
            </w14:solidFill>
          </w14:textFill>
        </w:rPr>
      </w:pPr>
      <w:r>
        <w:rPr>
          <w:color w:val="000000" w:themeColor="text1"/>
          <w:lang w:val="en-US"/>
          <w14:textFill>
            <w14:solidFill>
              <w14:schemeClr w14:val="tx1"/>
            </w14:solidFill>
          </w14:textFill>
        </w:rPr>
        <w:t>114.300</w:t>
      </w:r>
      <w:r>
        <w:rPr>
          <w:color w:val="000000" w:themeColor="text1"/>
          <w:lang w:val="hu-HU"/>
          <w14:textFill>
            <w14:solidFill>
              <w14:schemeClr w14:val="tx1"/>
            </w14:solidFill>
          </w14:textFill>
        </w:rPr>
        <w:t xml:space="preserve"> dinár (amennyibe két részletben fizeti a hallgató; az iskolaév be</w:t>
      </w:r>
      <w:r>
        <w:rPr>
          <w:color w:val="000000" w:themeColor="text1"/>
          <w:lang w:val="en"/>
          <w14:textFill>
            <w14:solidFill>
              <w14:schemeClr w14:val="tx1"/>
            </w14:solidFill>
          </w14:textFill>
        </w:rPr>
        <w:t>í</w:t>
      </w:r>
      <w:r>
        <w:rPr>
          <w:color w:val="000000" w:themeColor="text1"/>
          <w:lang w:val="hu-HU"/>
          <w14:textFill>
            <w14:solidFill>
              <w14:schemeClr w14:val="tx1"/>
            </w14:solidFill>
          </w14:textFill>
        </w:rPr>
        <w:t>rásakor az első részletet, és a téli szemeszter bejegyzések</w:t>
      </w:r>
      <w:r>
        <w:rPr>
          <w:color w:val="000000" w:themeColor="text1"/>
          <w:lang w:val="en"/>
          <w14:textFill>
            <w14:solidFill>
              <w14:schemeClr w14:val="tx1"/>
            </w14:solidFill>
          </w14:textFill>
        </w:rPr>
        <w:t>o</w:t>
      </w:r>
      <w:r>
        <w:rPr>
          <w:color w:val="000000" w:themeColor="text1"/>
          <w:lang w:val="hu-HU"/>
          <w14:textFill>
            <w14:solidFill>
              <w14:schemeClr w14:val="tx1"/>
            </w14:solidFill>
          </w14:textFill>
        </w:rPr>
        <w:t>r a második részletet)</w:t>
      </w:r>
    </w:p>
    <w:p>
      <w:pPr>
        <w:spacing w:before="0" w:after="0" w:line="240" w:lineRule="auto"/>
        <w:rPr>
          <w:color w:val="000000" w:themeColor="text1"/>
          <w:lang w:val="hu-HU"/>
          <w14:textFill>
            <w14:solidFill>
              <w14:schemeClr w14:val="tx1"/>
            </w14:solidFill>
          </w14:textFill>
        </w:rPr>
      </w:pPr>
    </w:p>
    <w:p>
      <w:pPr>
        <w:spacing w:before="0" w:after="0" w:line="240" w:lineRule="auto"/>
        <w:rPr>
          <w:color w:val="000000" w:themeColor="text1"/>
          <w:lang w:val="hu-HU"/>
          <w14:textFill>
            <w14:solidFill>
              <w14:schemeClr w14:val="tx1"/>
            </w14:solidFill>
          </w14:textFill>
        </w:rPr>
      </w:pPr>
    </w:p>
    <w:p>
      <w:pPr>
        <w:spacing w:before="0" w:after="0" w:line="240" w:lineRule="auto"/>
        <w:rPr>
          <w:color w:val="000000" w:themeColor="text1"/>
          <w:lang w:val="hu-HU"/>
          <w14:textFill>
            <w14:solidFill>
              <w14:schemeClr w14:val="tx1"/>
            </w14:solidFill>
          </w14:textFill>
        </w:rPr>
      </w:pPr>
    </w:p>
    <w:p>
      <w:p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p>
    <w:p>
      <w:pPr>
        <w:pStyle w:val="3"/>
        <w:rPr>
          <w:b/>
          <w:bCs/>
          <w:color w:val="000000" w:themeColor="text1"/>
          <w:lang w:val="hu-HU"/>
          <w14:textFill>
            <w14:solidFill>
              <w14:schemeClr w14:val="tx1"/>
            </w14:solidFill>
          </w14:textFill>
        </w:rPr>
      </w:pPr>
      <w:r>
        <w:rPr>
          <w:b/>
          <w:bCs/>
          <w:color w:val="000000" w:themeColor="text1"/>
          <w:lang w:val="hu-HU"/>
          <w14:textFill>
            <w14:solidFill>
              <w14:schemeClr w14:val="tx1"/>
            </w14:solidFill>
          </w14:textFill>
        </w:rPr>
        <w:t>Az előző TANÉVBEN 48 ÉS 60 ECTS KÖZÖTTI pontszámot elért másodéves hallgatók</w:t>
      </w:r>
    </w:p>
    <w:p>
      <w:pPr>
        <w:spacing w:before="0" w:after="0"/>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 a másodéves hallgatók, akik 48 és 60 ECTS közötti pontszámmal fejezték az évet, beírhatják a harmadik tanévet és maradnak ill. átkerülnek államköltségi beosztásba (az állam fizeti a tandíjat). Azoknak a másodéves hallgatóknak, akik nem tisztázták le az első és második évet (nem értek el 60 ECTS pontszámot az első illetve a második tanévben) ismét be kell írniuk a visszamaradt tantárgyakat, melyeknek záróvizsgáit nem tették le. Ebben az esetben a visszamaradt tantárgyak költségeit a hallgatók viselik (nem támogatja az állam). </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PÉLDA: Amennyiben a hallgató az első év folyamán 54 ECTS pontszámot ért el, a második évben pedig 49 ECTS pontszámot, akkor az első évről 6 ECTS pontszám értékben jelent be tantágyat (60 – 54 = 6 ECTS), a második évről pedig 11 ECTS pontszám értékében (60 - 49 = 11 ECTS). </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első és másodéves kötelező tantárgyakat, melyeknek záróvizsgáját a hallgató nem tette le, elengedhetetlenül be kell jelenteni. A le nem tisztázott választható tantárgyakat ismét be lehet jelenteni, illetve azok helyett újat választhat a hallgató (a választás feltétele, hogy az ECTS összpontszám összhangban legyen a szakirány követelményeivel). </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Mivel a hallgató állami költségen folytatja tanulmányait, ezért köteles egészében lehallgatni a harmadik tanévet (minden kötelező tantárgyat, ill. annyi választott tantárgyat, ahány szükséges a 60 ECTS összpontszám eléréséhez). 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w:t>
      </w:r>
      <w:r>
        <w:rPr>
          <w:bCs/>
          <w:color w:val="000000" w:themeColor="text1"/>
          <w:lang w:val="en-US"/>
          <w14:textFill>
            <w14:solidFill>
              <w14:schemeClr w14:val="tx1"/>
            </w14:solidFill>
          </w14:textFill>
        </w:rPr>
        <w:t>6</w:t>
      </w:r>
      <w:r>
        <w:rPr>
          <w:bCs/>
          <w:color w:val="000000" w:themeColor="text1"/>
          <w:lang w:val="hu-HU"/>
          <w14:textFill>
            <w14:solidFill>
              <w14:schemeClr w14:val="tx1"/>
            </w14:solidFill>
          </w14:textFill>
        </w:rPr>
        <w:t xml:space="preserve">, követve az EREF-en található utasítást a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7"/>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 </w:t>
      </w:r>
    </w:p>
    <w:p>
      <w:pPr>
        <w:numPr>
          <w:ilvl w:val="0"/>
          <w:numId w:val="7"/>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előző ta</w:t>
      </w:r>
      <w:r>
        <w:rPr>
          <w:color w:val="000000" w:themeColor="text1"/>
          <w:lang w:val="en"/>
          <w14:textFill>
            <w14:solidFill>
              <w14:schemeClr w14:val="tx1"/>
            </w14:solidFill>
          </w14:textFill>
        </w:rPr>
        <w:t>n</w:t>
      </w:r>
      <w:r>
        <w:rPr>
          <w:color w:val="000000" w:themeColor="text1"/>
          <w:lang w:val="hu-HU"/>
          <w14:textFill>
            <w14:solidFill>
              <w14:schemeClr w14:val="tx1"/>
            </w14:solidFill>
          </w14:textFill>
        </w:rPr>
        <w:t>évekb</w:t>
      </w:r>
      <w:r>
        <w:rPr>
          <w:color w:val="000000" w:themeColor="text1"/>
          <w:lang w:val="en"/>
          <w14:textFill>
            <w14:solidFill>
              <w14:schemeClr w14:val="tx1"/>
            </w14:solidFill>
          </w14:textFill>
        </w:rPr>
        <w:t>ő</w:t>
      </w:r>
      <w:r>
        <w:rPr>
          <w:color w:val="000000" w:themeColor="text1"/>
          <w:lang w:val="hu-HU"/>
          <w14:textFill>
            <w14:solidFill>
              <w14:schemeClr w14:val="tx1"/>
            </w14:solidFill>
          </w14:textFill>
        </w:rPr>
        <w:t xml:space="preserve">l bejelentett tantárgyak költségei. A hallgató annyi ECTS pontszámnak megfelelő összeget fizet be, amennyit újra bejelentett: 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 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pStyle w:val="3"/>
        <w:rPr>
          <w:b/>
          <w:bCs/>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r>
        <w:rPr>
          <w:b/>
          <w:bCs/>
          <w:color w:val="000000" w:themeColor="text1"/>
          <w:lang w:val="hu-HU"/>
          <w14:textFill>
            <w14:solidFill>
              <w14:schemeClr w14:val="tx1"/>
            </w14:solidFill>
          </w14:textFill>
        </w:rPr>
        <w:t>Az előző TANÉVBEN állami költségen tanuló harmadéves hallgatók</w:t>
      </w:r>
    </w:p>
    <w:p>
      <w:pPr>
        <w:spacing w:before="0" w:after="0"/>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előző tanévben állami költségen tanuló harmadéves hallgatók megtartják államiköltségi beosztásukat.</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Azoknak a harmadéves hallgatóknak, akik nem tisztázták le az előző tanéveket (nem értek el 60 ECTS pontszámot az első, második illetve a harmadik tanévben) ismét be kell írniuk a visszamaradt tantárgyakat, melyeknek záróvizsgáit nem tették le. Ebben az esetben a visszamaradt tantárgyak költségeit a hallgatók viselik (nem támogatja az állam), kivéve 6 vagy 12 ECTS költségét, ami a záróvizsga. </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PÉLDA: Amennyiben a hallgató az első év folyamán 54 ECTS pontszámot ért el, a második évben szintén 54 ECTS pontszámot, míg a harmadikban 50 ECTS pontszámot szerzett, akkor az első évről 6 ECTS pontszám értékben jelent be tantágyat (60 – 54 = 6 ECTS), a második évről szintén 6 ECTS pontszám értékében (60 - 54 = 6 ECTS), míg a harmadik évről (60 – 50 – szakdolgozat pontjai) pontszám értékében.</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első, másod, és harmadéves kötelező tantárgyakat, melyeknek záróvizsgáját a hallgató nem tette le, elengedhetetlenül be kell jelenteni. A le nem tisztázott választható tantárgyakat ismét be lehet jelenteni, illetve azok helyett újat választhat a hallgató (a választás feltétele, hogy az ECTS összpontszám összhangban legyen a szakirány követelményeivel). 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xml:space="preserve">, követve az EREF-en található utasítást a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p>
    <w:p>
      <w:pPr>
        <w:numPr>
          <w:ilvl w:val="0"/>
          <w:numId w:val="8"/>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iratkozás</w:t>
      </w:r>
      <w:r>
        <w:rPr>
          <w:color w:val="000000" w:themeColor="text1"/>
          <w:lang w:val="en"/>
          <w14:textFill>
            <w14:solidFill>
              <w14:schemeClr w14:val="tx1"/>
            </w14:solidFill>
          </w14:textFill>
        </w:rPr>
        <w:t xml:space="preserve"> </w:t>
      </w:r>
      <w:r>
        <w:rPr>
          <w:color w:val="000000" w:themeColor="text1"/>
          <w:lang w:val="hu-HU"/>
          <w14:textFill>
            <w14:solidFill>
              <w14:schemeClr w14:val="tx1"/>
            </w14:solidFill>
          </w14:textFill>
        </w:rPr>
        <w:t xml:space="preserve">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 </w:t>
      </w:r>
    </w:p>
    <w:p>
      <w:pPr>
        <w:numPr>
          <w:ilvl w:val="0"/>
          <w:numId w:val="8"/>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előző tanévekből bejelentett tantárgyak költségei. </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A hallgató annyi ECTS pontszámnak megfelelő összeget fizet be, amennyit újra bejelentett, kivéve 6 vagy 12 ECTS költségét, ami a záróvizsga.</w:t>
      </w:r>
    </w:p>
    <w:p>
      <w:pPr>
        <w:spacing w:before="0" w:after="0" w:line="240" w:lineRule="auto"/>
        <w:ind w:firstLine="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spacing w:before="0" w:after="0" w:line="240" w:lineRule="auto"/>
        <w:rPr>
          <w:b/>
          <w:bCs/>
          <w:color w:val="000000" w:themeColor="text1"/>
          <w:lang w:val="hu-HU"/>
          <w14:textFill>
            <w14:solidFill>
              <w14:schemeClr w14:val="tx1"/>
            </w14:solidFill>
          </w14:textFill>
        </w:rPr>
      </w:pPr>
    </w:p>
    <w:p>
      <w:pPr>
        <w:pStyle w:val="3"/>
        <w:rPr>
          <w:b/>
          <w:bCs/>
          <w:color w:val="000000" w:themeColor="text1"/>
          <w:lang w:val="hu-HU"/>
          <w14:textFill>
            <w14:solidFill>
              <w14:schemeClr w14:val="tx1"/>
            </w14:solidFill>
          </w14:textFill>
        </w:rPr>
      </w:pPr>
      <w:r>
        <w:rPr>
          <w:color w:val="000000" w:themeColor="text1"/>
          <w:lang w:val="hu-HU"/>
          <w14:textFill>
            <w14:solidFill>
              <w14:schemeClr w14:val="tx1"/>
            </w14:solidFill>
          </w14:textFill>
        </w:rPr>
        <w:br w:type="page"/>
      </w:r>
      <w:r>
        <w:rPr>
          <w:b/>
          <w:bCs/>
          <w:color w:val="000000" w:themeColor="text1"/>
          <w:lang w:val="hu-HU"/>
          <w14:textFill>
            <w14:solidFill>
              <w14:schemeClr w14:val="tx1"/>
            </w14:solidFill>
          </w14:textFill>
        </w:rPr>
        <w:t>Az előző TANÉVBEN önköltségen tanuló harmadéves hallgatók</w:t>
      </w:r>
    </w:p>
    <w:p>
      <w:pPr>
        <w:spacing w:before="0" w:after="0"/>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előző tanévben önköltségen tanuló harmadéves hallgatók megtartják önköltséges beosztásukat.</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Azoknak a harmadéves hallgatóknak, akik nem tisztázták le az előző tanéveket (nem értek el 60 ECTS pontszámot az első, második illetve a harmadik tanévben) ismét be kell írniuk a visszamaradt tantárgyakat, melyeknek záróvizsgáit nem tették le. Ebben az esetben a visszamaradt tantárgyak költségeit a hallgatók viselik (nem támogatja az állam), kivéve 6 vagy 12 ECTS költségét, ami a záróvizsga. </w:t>
      </w: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PÉLDA: Amennyiben a hallgató az első év folyamán 54 ECTS pontszámot ért el, a második évben szintén 54 ECTS pontszámot, míg a harmadikban 50 ECTS pontszámot szerzett, akkor az első évről 6 ECTS pontszám értékben jelent be tantágyat (60 – 54 = 6 ECTS), a második évről szintén 6 ECTS pontszám értékében (60 - 54 = 6 ECTS), míg a harmadik évről (60 – 50 – szakdolgozat pontjai) pontszám értékében.</w:t>
      </w:r>
    </w:p>
    <w:p>
      <w:pPr>
        <w:spacing w:before="0" w:after="0"/>
        <w:jc w:val="both"/>
        <w:rPr>
          <w:color w:val="000000" w:themeColor="text1"/>
          <w:lang w:val="hu-HU"/>
          <w14:textFill>
            <w14:solidFill>
              <w14:schemeClr w14:val="tx1"/>
            </w14:solidFill>
          </w14:textFill>
        </w:rPr>
      </w:pPr>
    </w:p>
    <w:p>
      <w:pPr>
        <w:spacing w:before="0" w:after="0"/>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Az első, másod, és harmadéves kötelező tantárgyakat, melyeknek záróvizsgáját a hallgató nem tette le, elengedhetetlenül be kell jelenteni. A le nem tisztázott választható tantárgyakat ismét be lehet jelenteni, illetve azok helyett újat választhat a hallgató (a választás feltétele, hogy az ECTS összpontszám összhangban legyen a szakirány követelményeivel). Az ismét bejelentett tantárgyak előadásait újra kell hallgatni. Amennyiben a tantervben két előadás fedi egymást, a hallgató kötelességét a tantárgyfelelős tanárral egyezteti.</w:t>
      </w:r>
    </w:p>
    <w:p>
      <w:pPr>
        <w:jc w:val="both"/>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valamint a tandíj költségeit a következő folyószámlaszámra szükséges befizetni: </w:t>
      </w:r>
      <w:r>
        <w:rPr>
          <w:b/>
          <w:bCs w:val="0"/>
          <w:color w:val="000000" w:themeColor="text1"/>
          <w:lang w:val="en-US"/>
          <w14:textFill>
            <w14:solidFill>
              <w14:schemeClr w14:val="tx1"/>
            </w14:solidFill>
          </w14:textFill>
        </w:rPr>
        <w:t>840-32811845-96</w:t>
      </w:r>
      <w:r>
        <w:rPr>
          <w:bCs/>
          <w:color w:val="000000" w:themeColor="text1"/>
          <w:lang w:val="hu-HU"/>
          <w14:textFill>
            <w14:solidFill>
              <w14:schemeClr w14:val="tx1"/>
            </w14:solidFill>
          </w14:textFill>
        </w:rPr>
        <w:t xml:space="preserve">, követve az EREF-en található utasítást a </w:t>
      </w:r>
      <w:r>
        <w:rPr>
          <w:color w:val="000000" w:themeColor="text1"/>
          <w:lang w:val="sr-Latn-CS"/>
          <w14:textFill>
            <w14:solidFill>
              <w14:schemeClr w14:val="tx1"/>
            </w14:solidFill>
          </w14:textFill>
        </w:rPr>
        <w:t>„</w:t>
      </w:r>
      <w:r>
        <w:rPr>
          <w:color w:val="000000" w:themeColor="text1"/>
          <w:lang w:val="en"/>
          <w14:textFill>
            <w14:solidFill>
              <w14:schemeClr w14:val="tx1"/>
            </w14:solidFill>
          </w14:textFill>
        </w:rPr>
        <w:t>Iratkozás és tandíj költségei</w:t>
      </w:r>
      <w:r>
        <w:rPr>
          <w:color w:val="000000" w:themeColor="text1"/>
          <w:lang w:val="sr-Latn-CS"/>
          <w14:textFill>
            <w14:solidFill>
              <w14:schemeClr w14:val="tx1"/>
            </w14:solidFill>
          </w14:textFill>
        </w:rPr>
        <w:t>“ alatt.</w:t>
      </w:r>
      <w:bookmarkStart w:id="0" w:name="_GoBack"/>
      <w:bookmarkEnd w:id="0"/>
    </w:p>
    <w:p>
      <w:pPr>
        <w:numPr>
          <w:ilvl w:val="0"/>
          <w:numId w:val="9"/>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iratkozás költsége </w:t>
      </w:r>
      <w:r>
        <w:rPr>
          <w:color w:val="000000" w:themeColor="text1"/>
          <w:lang w:val="en-US"/>
          <w14:textFill>
            <w14:solidFill>
              <w14:schemeClr w14:val="tx1"/>
            </w14:solidFill>
          </w14:textFill>
        </w:rPr>
        <w:t>11.000,00</w:t>
      </w:r>
      <w:r>
        <w:rPr>
          <w:color w:val="000000" w:themeColor="text1"/>
          <w:lang w:val="hu-HU"/>
          <w14:textFill>
            <w14:solidFill>
              <w14:schemeClr w14:val="tx1"/>
            </w14:solidFill>
          </w14:textFill>
        </w:rPr>
        <w:t xml:space="preserve"> dinár. </w:t>
      </w:r>
    </w:p>
    <w:p>
      <w:pPr>
        <w:numPr>
          <w:ilvl w:val="0"/>
          <w:numId w:val="8"/>
        </w:numPr>
        <w:spacing w:before="0" w:after="0" w:line="240" w:lineRule="auto"/>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Az előző tanévekből bejelentett tantárgyak költségei. </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A hallgató annyi ECTS pontszámnak megfelelő összeget fizet be, amennyit újra bejelentett, kivéve 6 vagy 12 ECTS költségét, ami a záróvizsga..</w:t>
      </w:r>
    </w:p>
    <w:p>
      <w:pPr>
        <w:spacing w:before="0" w:after="0" w:line="240" w:lineRule="auto"/>
        <w:ind w:firstLine="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1.625,00</w:t>
      </w:r>
      <w:r>
        <w:rPr>
          <w:color w:val="000000" w:themeColor="text1"/>
          <w:lang w:val="hu-HU"/>
          <w14:textFill>
            <w14:solidFill>
              <w14:schemeClr w14:val="tx1"/>
            </w14:solidFill>
          </w14:textFill>
        </w:rPr>
        <w:t xml:space="preserve"> RSD (ha egy részletben fizetik az összeget)</w:t>
      </w:r>
    </w:p>
    <w:p>
      <w:pPr>
        <w:spacing w:before="0" w:after="0" w:line="240" w:lineRule="auto"/>
        <w:ind w:left="720"/>
        <w:rPr>
          <w:color w:val="000000" w:themeColor="text1"/>
          <w:lang w:val="hu-HU"/>
          <w14:textFill>
            <w14:solidFill>
              <w14:schemeClr w14:val="tx1"/>
            </w14:solidFill>
          </w14:textFill>
        </w:rPr>
      </w:pPr>
      <w:r>
        <w:rPr>
          <w:color w:val="000000" w:themeColor="text1"/>
          <w:lang w:val="hu-HU"/>
          <w14:textFill>
            <w14:solidFill>
              <w14:schemeClr w14:val="tx1"/>
            </w14:solidFill>
          </w14:textFill>
        </w:rPr>
        <w:t xml:space="preserve">1 ECTS = </w:t>
      </w:r>
      <w:r>
        <w:rPr>
          <w:color w:val="000000" w:themeColor="text1"/>
          <w:lang w:val="en-US"/>
          <w14:textFill>
            <w14:solidFill>
              <w14:schemeClr w14:val="tx1"/>
            </w14:solidFill>
          </w14:textFill>
        </w:rPr>
        <w:t>1.905,00</w:t>
      </w:r>
      <w:r>
        <w:rPr>
          <w:color w:val="000000" w:themeColor="text1"/>
          <w:lang w:val="hu-HU"/>
          <w14:textFill>
            <w14:solidFill>
              <w14:schemeClr w14:val="tx1"/>
            </w14:solidFill>
          </w14:textFill>
        </w:rPr>
        <w:t xml:space="preserve"> RSD (ha két részletben fizetik az összeget)</w:t>
      </w:r>
    </w:p>
    <w:p>
      <w:pPr>
        <w:rPr>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00007A87" w:usb1="80000000" w:usb2="00000008" w:usb3="00000000" w:csb0="400001FF" w:csb1="FFFF0000"/>
  </w:font>
  <w:font w:name="黑体">
    <w:altName w:val="Arial Unicode MS"/>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Arial Unicode MS"/>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026"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354"/>
      <w:gridCol w:w="7672"/>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354" w:type="dxa"/>
          <w:tcBorders>
            <w:right w:val="single" w:color="auto" w:sz="12" w:space="0"/>
          </w:tcBorders>
        </w:tcPr>
        <w:p>
          <w:pPr>
            <w:pStyle w:val="20"/>
            <w:jc w:val="right"/>
            <w:rPr>
              <w:sz w:val="20"/>
              <w:szCs w:val="20"/>
              <w:lang w:val="en-US" w:eastAsia="en-US" w:bidi="en-US"/>
            </w:rPr>
          </w:pPr>
          <w:r>
            <w:rPr>
              <w:sz w:val="20"/>
              <w:szCs w:val="20"/>
              <w:lang w:val="en-US" w:eastAsia="en-US" w:bidi="en-US"/>
            </w:rPr>
            <w:fldChar w:fldCharType="begin"/>
          </w:r>
          <w:r>
            <w:rPr>
              <w:sz w:val="20"/>
              <w:szCs w:val="20"/>
              <w:lang w:val="en-US" w:eastAsia="en-US" w:bidi="en-US"/>
            </w:rPr>
            <w:instrText xml:space="preserve"> PAGE   \* MERGEFORMAT </w:instrText>
          </w:r>
          <w:r>
            <w:rPr>
              <w:sz w:val="20"/>
              <w:szCs w:val="20"/>
              <w:lang w:val="en-US" w:eastAsia="en-US" w:bidi="en-US"/>
            </w:rPr>
            <w:fldChar w:fldCharType="separate"/>
          </w:r>
          <w:r>
            <w:rPr>
              <w:sz w:val="20"/>
              <w:szCs w:val="20"/>
              <w:lang w:val="en-US" w:eastAsia="en-US" w:bidi="en-US"/>
            </w:rPr>
            <w:t>4</w:t>
          </w:r>
          <w:r>
            <w:rPr>
              <w:sz w:val="20"/>
              <w:szCs w:val="20"/>
              <w:lang w:val="en-US" w:eastAsia="en-US" w:bidi="en-US"/>
            </w:rPr>
            <w:fldChar w:fldCharType="end"/>
          </w:r>
          <w:r>
            <w:rPr>
              <w:sz w:val="20"/>
              <w:szCs w:val="20"/>
              <w:lang w:val="en-US" w:eastAsia="en-US" w:bidi="en-US"/>
            </w:rPr>
            <w:t>/</w:t>
          </w:r>
          <w:r>
            <w:rPr>
              <w:sz w:val="20"/>
              <w:szCs w:val="20"/>
              <w:lang w:val="en-US" w:eastAsia="en-US" w:bidi="en-US"/>
            </w:rPr>
            <w:fldChar w:fldCharType="begin"/>
          </w:r>
          <w:r>
            <w:rPr>
              <w:sz w:val="20"/>
              <w:szCs w:val="20"/>
              <w:lang w:val="en-US" w:eastAsia="en-US" w:bidi="en-US"/>
            </w:rPr>
            <w:instrText xml:space="preserve"> NUMPAGES  \* Arabic  \* MERGEFORMAT </w:instrText>
          </w:r>
          <w:r>
            <w:rPr>
              <w:sz w:val="20"/>
              <w:szCs w:val="20"/>
              <w:lang w:val="en-US" w:eastAsia="en-US" w:bidi="en-US"/>
            </w:rPr>
            <w:fldChar w:fldCharType="separate"/>
          </w:r>
          <w:r>
            <w:rPr>
              <w:sz w:val="20"/>
              <w:szCs w:val="20"/>
              <w:lang w:val="en-US" w:eastAsia="en-US" w:bidi="en-US"/>
            </w:rPr>
            <w:t>9</w:t>
          </w:r>
          <w:r>
            <w:rPr>
              <w:sz w:val="20"/>
              <w:szCs w:val="20"/>
              <w:lang w:val="en-US" w:eastAsia="en-US" w:bidi="en-US"/>
            </w:rPr>
            <w:fldChar w:fldCharType="end"/>
          </w:r>
        </w:p>
      </w:tc>
      <w:tc>
        <w:tcPr>
          <w:tcW w:w="7672" w:type="dxa"/>
          <w:tcBorders>
            <w:left w:val="single" w:color="auto" w:sz="12" w:space="0"/>
          </w:tcBorders>
        </w:tcPr>
        <w:p>
          <w:pPr>
            <w:pStyle w:val="20"/>
            <w:jc w:val="right"/>
            <w:rPr>
              <w:sz w:val="20"/>
              <w:szCs w:val="20"/>
              <w:lang w:val="en-US" w:eastAsia="en-US" w:bidi="en-US"/>
            </w:rPr>
          </w:pPr>
        </w:p>
      </w:tc>
    </w:tr>
  </w:tbl>
  <w:p>
    <w:pPr>
      <w:pStyle w:val="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026"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354"/>
      <w:gridCol w:w="7672"/>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354" w:type="dxa"/>
          <w:tcBorders>
            <w:right w:val="single" w:color="auto" w:sz="12" w:space="0"/>
          </w:tcBorders>
        </w:tcPr>
        <w:p>
          <w:pPr>
            <w:pStyle w:val="20"/>
            <w:jc w:val="right"/>
            <w:rPr>
              <w:sz w:val="20"/>
              <w:szCs w:val="20"/>
              <w:lang w:val="en-US" w:eastAsia="en-US" w:bidi="en-US"/>
            </w:rPr>
          </w:pPr>
          <w:r>
            <w:rPr>
              <w:sz w:val="20"/>
              <w:szCs w:val="20"/>
              <w:lang w:val="en-US" w:eastAsia="en-US" w:bidi="en-US"/>
            </w:rPr>
            <w:fldChar w:fldCharType="begin"/>
          </w:r>
          <w:r>
            <w:rPr>
              <w:sz w:val="20"/>
              <w:szCs w:val="20"/>
              <w:lang w:val="en-US" w:eastAsia="en-US" w:bidi="en-US"/>
            </w:rPr>
            <w:instrText xml:space="preserve"> PAGE   \* MERGEFORMAT </w:instrText>
          </w:r>
          <w:r>
            <w:rPr>
              <w:sz w:val="20"/>
              <w:szCs w:val="20"/>
              <w:lang w:val="en-US" w:eastAsia="en-US" w:bidi="en-US"/>
            </w:rPr>
            <w:fldChar w:fldCharType="separate"/>
          </w:r>
          <w:r>
            <w:rPr>
              <w:sz w:val="20"/>
              <w:szCs w:val="20"/>
              <w:lang w:val="en-US" w:eastAsia="en-US" w:bidi="en-US"/>
            </w:rPr>
            <w:t>1</w:t>
          </w:r>
          <w:r>
            <w:rPr>
              <w:sz w:val="20"/>
              <w:szCs w:val="20"/>
              <w:lang w:val="en-US" w:eastAsia="en-US" w:bidi="en-US"/>
            </w:rPr>
            <w:fldChar w:fldCharType="end"/>
          </w:r>
          <w:r>
            <w:rPr>
              <w:sz w:val="20"/>
              <w:szCs w:val="20"/>
              <w:lang w:val="en-US" w:eastAsia="en-US" w:bidi="en-US"/>
            </w:rPr>
            <w:t>/</w:t>
          </w:r>
          <w:r>
            <w:rPr>
              <w:sz w:val="20"/>
              <w:szCs w:val="20"/>
              <w:lang w:val="en-US" w:eastAsia="en-US" w:bidi="en-US"/>
            </w:rPr>
            <w:fldChar w:fldCharType="begin"/>
          </w:r>
          <w:r>
            <w:rPr>
              <w:sz w:val="20"/>
              <w:szCs w:val="20"/>
              <w:lang w:val="en-US" w:eastAsia="en-US" w:bidi="en-US"/>
            </w:rPr>
            <w:instrText xml:space="preserve"> NUMPAGES  \* Arabic  \* MERGEFORMAT </w:instrText>
          </w:r>
          <w:r>
            <w:rPr>
              <w:sz w:val="20"/>
              <w:szCs w:val="20"/>
              <w:lang w:val="en-US" w:eastAsia="en-US" w:bidi="en-US"/>
            </w:rPr>
            <w:fldChar w:fldCharType="separate"/>
          </w:r>
          <w:r>
            <w:rPr>
              <w:sz w:val="20"/>
              <w:szCs w:val="20"/>
              <w:lang w:val="en-US" w:eastAsia="en-US" w:bidi="en-US"/>
            </w:rPr>
            <w:t>9</w:t>
          </w:r>
          <w:r>
            <w:rPr>
              <w:sz w:val="20"/>
              <w:szCs w:val="20"/>
              <w:lang w:val="en-US" w:eastAsia="en-US" w:bidi="en-US"/>
            </w:rPr>
            <w:fldChar w:fldCharType="end"/>
          </w:r>
        </w:p>
      </w:tc>
      <w:tc>
        <w:tcPr>
          <w:tcW w:w="7672" w:type="dxa"/>
          <w:tcBorders>
            <w:left w:val="single" w:color="auto" w:sz="12" w:space="0"/>
          </w:tcBorders>
        </w:tcPr>
        <w:p>
          <w:pPr>
            <w:pStyle w:val="20"/>
            <w:jc w:val="right"/>
            <w:rPr>
              <w:sz w:val="20"/>
              <w:szCs w:val="20"/>
              <w:lang w:val="en-US" w:eastAsia="en-US" w:bidi="en-US"/>
            </w:rPr>
          </w:pPr>
        </w:p>
      </w:tc>
    </w:tr>
  </w:tbl>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8698" w:type="dxa"/>
      <w:tblInd w:w="0" w:type="dxa"/>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9"/>
      <w:gridCol w:w="2174"/>
      <w:gridCol w:w="2175"/>
    </w:tblGrid>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top w:val="single" w:color="auto" w:sz="36" w:space="0"/>
            <w:left w:val="single" w:color="auto" w:sz="36" w:space="0"/>
          </w:tcBorders>
          <w:tcMar>
            <w:left w:w="28" w:type="dxa"/>
            <w:right w:w="28" w:type="dxa"/>
          </w:tcMar>
          <w:vAlign w:val="center"/>
        </w:tcPr>
        <w:p>
          <w:pPr>
            <w:spacing w:before="0" w:after="0" w:line="240" w:lineRule="auto"/>
            <w:jc w:val="center"/>
            <w:rPr>
              <w:b/>
              <w:lang w:val="sr-Latn-RS"/>
            </w:rPr>
          </w:pPr>
          <w:r>
            <w:rPr>
              <w:lang w:val="sr-Latn-RS" w:eastAsia="hu-HU" w:bidi="ar-SA"/>
            </w:rPr>
            <w:drawing>
              <wp:inline distT="0" distB="0" distL="0" distR="0">
                <wp:extent cx="770255" cy="424815"/>
                <wp:effectExtent l="0" t="0" r="0" b="0"/>
                <wp:docPr id="6" name="Picture 6" descr="vts plavo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ts plavo gif"/>
                        <pic:cNvPicPr>
                          <a:picLocks noChangeAspect="1" noChangeArrowheads="1"/>
                        </pic:cNvPicPr>
                      </pic:nvPicPr>
                      <pic:blipFill>
                        <a:blip r:embed="rId1">
                          <a:biLevel thresh="50000"/>
                          <a:grayscl/>
                          <a:extLst>
                            <a:ext uri="{28A0092B-C50C-407E-A947-70E740481C1C}">
                              <a14:useLocalDpi xmlns:a14="http://schemas.microsoft.com/office/drawing/2010/main" val="0"/>
                            </a:ext>
                          </a:extLst>
                        </a:blip>
                        <a:srcRect b="20876"/>
                        <a:stretch>
                          <a:fillRect/>
                        </a:stretch>
                      </pic:blipFill>
                      <pic:spPr>
                        <a:xfrm>
                          <a:off x="0" y="0"/>
                          <a:ext cx="770255" cy="424815"/>
                        </a:xfrm>
                        <a:prstGeom prst="rect">
                          <a:avLst/>
                        </a:prstGeom>
                        <a:noFill/>
                        <a:ln>
                          <a:noFill/>
                        </a:ln>
                      </pic:spPr>
                    </pic:pic>
                  </a:graphicData>
                </a:graphic>
              </wp:inline>
            </w:drawing>
          </w:r>
        </w:p>
      </w:tc>
      <w:tc>
        <w:tcPr>
          <w:tcW w:w="2174" w:type="dxa"/>
          <w:tcBorders>
            <w:top w:val="single" w:color="auto" w:sz="36" w:space="0"/>
          </w:tcBorders>
          <w:vAlign w:val="center"/>
        </w:tcPr>
        <w:p>
          <w:pPr>
            <w:spacing w:before="0" w:after="0" w:line="240" w:lineRule="auto"/>
            <w:jc w:val="center"/>
            <w:rPr>
              <w:lang w:val="sr-Latn-RS"/>
            </w:rPr>
          </w:pPr>
        </w:p>
      </w:tc>
      <w:tc>
        <w:tcPr>
          <w:tcW w:w="2175" w:type="dxa"/>
          <w:tcBorders>
            <w:top w:val="single" w:color="auto" w:sz="36" w:space="0"/>
          </w:tcBorders>
          <w:vAlign w:val="center"/>
        </w:tcPr>
        <w:p>
          <w:pPr>
            <w:spacing w:before="0" w:after="0" w:line="240" w:lineRule="auto"/>
            <w:jc w:val="center"/>
            <w:rPr>
              <w:lang w:val="sr-Latn-RS"/>
            </w:rPr>
          </w:pPr>
        </w:p>
      </w:tc>
    </w:tr>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left w:val="single" w:color="auto" w:sz="36" w:space="0"/>
          </w:tcBorders>
          <w:tcMar>
            <w:left w:w="28" w:type="dxa"/>
            <w:right w:w="28" w:type="dxa"/>
          </w:tcMar>
          <w:vAlign w:val="center"/>
        </w:tcPr>
        <w:p>
          <w:pPr>
            <w:spacing w:before="0" w:after="0" w:line="240" w:lineRule="auto"/>
            <w:jc w:val="center"/>
            <w:rPr>
              <w:sz w:val="16"/>
              <w:szCs w:val="16"/>
              <w:lang w:val="sr-Latn-RS"/>
            </w:rPr>
          </w:pPr>
          <w:r>
            <w:rPr>
              <w:b/>
              <w:sz w:val="16"/>
              <w:szCs w:val="16"/>
              <w:lang w:val="sr-Latn-RS"/>
            </w:rPr>
            <w:t>VISOKA TEHNIČKA ŠKOLA STRUKOVNIH STUDIJA U SUBOTICI</w:t>
          </w:r>
          <w:r>
            <w:rPr>
              <w:b/>
              <w:sz w:val="16"/>
              <w:szCs w:val="16"/>
              <w:lang w:val="sr-Latn-RS"/>
            </w:rPr>
            <w:br w:type="textWrapping"/>
          </w:r>
          <w:r>
            <w:rPr>
              <w:b/>
              <w:sz w:val="16"/>
              <w:szCs w:val="16"/>
              <w:lang w:val="sr-Latn-RS"/>
            </w:rPr>
            <w:t>SZABADKAI MŰSZAKI SZAKFŐISKOLA, SZABADKA</w:t>
          </w:r>
          <w:r>
            <w:rPr>
              <w:b/>
              <w:sz w:val="16"/>
              <w:szCs w:val="16"/>
              <w:lang w:val="sr-Latn-RS"/>
            </w:rPr>
            <w:br w:type="textWrapping"/>
          </w:r>
          <w:r>
            <w:rPr>
              <w:b/>
              <w:sz w:val="16"/>
              <w:szCs w:val="16"/>
              <w:lang w:val="sr-Latn-RS"/>
            </w:rPr>
            <w:t>SUBOTICA TECH – COLLEGE OF APPLIED SCIENCES</w:t>
          </w:r>
        </w:p>
      </w:tc>
      <w:tc>
        <w:tcPr>
          <w:tcW w:w="2174" w:type="dxa"/>
          <w:vAlign w:val="center"/>
        </w:tcPr>
        <w:p>
          <w:pPr>
            <w:spacing w:before="0" w:after="0" w:line="240" w:lineRule="auto"/>
            <w:jc w:val="center"/>
            <w:rPr>
              <w:lang w:val="sr-Latn-RS"/>
            </w:rPr>
          </w:pPr>
        </w:p>
      </w:tc>
      <w:tc>
        <w:tcPr>
          <w:tcW w:w="2175" w:type="dxa"/>
          <w:vAlign w:val="center"/>
        </w:tcPr>
        <w:p>
          <w:pPr>
            <w:spacing w:before="0" w:after="0" w:line="240" w:lineRule="auto"/>
            <w:jc w:val="center"/>
            <w:rPr>
              <w:lang w:val="sr-Latn-RS"/>
            </w:rPr>
          </w:pPr>
        </w:p>
      </w:tc>
    </w:tr>
    <w:tr>
      <w:tblPrEx>
        <w:tblBorders>
          <w:top w:val="single" w:color="FFDC00" w:sz="36" w:space="0"/>
          <w:left w:val="single" w:color="FFDC00" w:sz="3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349" w:type="dxa"/>
          <w:tcBorders>
            <w:left w:val="single" w:color="auto" w:sz="36" w:space="0"/>
          </w:tcBorders>
          <w:tcMar>
            <w:left w:w="28" w:type="dxa"/>
            <w:right w:w="28" w:type="dxa"/>
          </w:tcMar>
          <w:vAlign w:val="center"/>
        </w:tcPr>
        <w:p>
          <w:pPr>
            <w:spacing w:before="0" w:after="0" w:line="240" w:lineRule="auto"/>
            <w:jc w:val="center"/>
            <w:rPr>
              <w:b/>
              <w:sz w:val="16"/>
              <w:szCs w:val="16"/>
              <w:lang w:val="sr-Cyrl-RS"/>
            </w:rPr>
          </w:pPr>
          <w:r>
            <w:rPr>
              <w:sz w:val="16"/>
              <w:szCs w:val="16"/>
              <w:lang w:val="sr-Latn-RS"/>
            </w:rPr>
            <w:t>MARKA OREŠKOVIĆA 16, 24000 SUBOTICA, SRBI</w:t>
          </w:r>
          <w:r>
            <w:rPr>
              <w:sz w:val="16"/>
              <w:szCs w:val="16"/>
              <w:lang w:val="sr-Cyrl-RS"/>
            </w:rPr>
            <w:t>Ј</w:t>
          </w:r>
          <w:r>
            <w:rPr>
              <w:sz w:val="16"/>
              <w:szCs w:val="16"/>
              <w:lang w:val="sr-Latn-RS"/>
            </w:rPr>
            <w:t>A</w:t>
          </w:r>
          <w:r>
            <w:rPr>
              <w:sz w:val="16"/>
              <w:szCs w:val="16"/>
              <w:lang w:val="sr-Latn-RS"/>
            </w:rPr>
            <w:br w:type="textWrapping"/>
          </w:r>
          <w:r>
            <w:fldChar w:fldCharType="begin"/>
          </w:r>
          <w:r>
            <w:instrText xml:space="preserve"> HYPERLINK "http://www.vts.su.ac.rs" </w:instrText>
          </w:r>
          <w:r>
            <w:fldChar w:fldCharType="separate"/>
          </w:r>
          <w:r>
            <w:rPr>
              <w:sz w:val="16"/>
              <w:szCs w:val="16"/>
              <w:lang w:val="sr-Latn-RS"/>
            </w:rPr>
            <w:t>www.vts.su.ac.rs</w:t>
          </w:r>
          <w:r>
            <w:rPr>
              <w:sz w:val="16"/>
              <w:szCs w:val="16"/>
              <w:lang w:val="sr-Latn-RS"/>
            </w:rPr>
            <w:fldChar w:fldCharType="end"/>
          </w:r>
          <w:r>
            <w:rPr>
              <w:sz w:val="16"/>
              <w:szCs w:val="16"/>
              <w:lang w:val="sr-Latn-RS"/>
            </w:rPr>
            <w:br w:type="textWrapping"/>
          </w:r>
          <w:r>
            <w:rPr>
              <w:sz w:val="16"/>
              <w:szCs w:val="16"/>
              <w:lang w:val="sr-Latn-RS"/>
            </w:rPr>
            <w:t>Tel: +381 (0)24/655-201</w:t>
          </w:r>
          <w:r>
            <w:rPr>
              <w:sz w:val="16"/>
              <w:szCs w:val="16"/>
              <w:lang w:val="sr-Latn-RS"/>
            </w:rPr>
            <w:br w:type="textWrapping"/>
          </w:r>
          <w:r>
            <w:rPr>
              <w:sz w:val="16"/>
              <w:szCs w:val="16"/>
              <w:lang w:val="sr-Latn-RS"/>
            </w:rPr>
            <w:t>Fax: +381 (0)24/655-255</w:t>
          </w:r>
          <w:r>
            <w:rPr>
              <w:sz w:val="16"/>
              <w:szCs w:val="16"/>
              <w:lang w:val="sr-Latn-RS"/>
            </w:rPr>
            <w:br w:type="textWrapping"/>
          </w:r>
          <w:r>
            <w:rPr>
              <w:sz w:val="16"/>
              <w:szCs w:val="16"/>
              <w:lang w:val="sr-Latn-RS"/>
            </w:rPr>
            <w:t>email: office@vts.su.ac.rs</w:t>
          </w:r>
        </w:p>
      </w:tc>
      <w:tc>
        <w:tcPr>
          <w:tcW w:w="2174" w:type="dxa"/>
          <w:vAlign w:val="center"/>
        </w:tcPr>
        <w:p>
          <w:pPr>
            <w:spacing w:before="0" w:after="0" w:line="240" w:lineRule="auto"/>
            <w:jc w:val="center"/>
            <w:rPr>
              <w:lang w:val="sr-Latn-RS"/>
            </w:rPr>
          </w:pPr>
        </w:p>
      </w:tc>
      <w:tc>
        <w:tcPr>
          <w:tcW w:w="2175" w:type="dxa"/>
          <w:vAlign w:val="center"/>
        </w:tcPr>
        <w:p>
          <w:pPr>
            <w:spacing w:before="0" w:after="0" w:line="240" w:lineRule="auto"/>
            <w:jc w:val="right"/>
            <w:rPr>
              <w:sz w:val="16"/>
              <w:szCs w:val="16"/>
              <w:lang w:val="sr-Latn-RS"/>
            </w:rPr>
          </w:pPr>
        </w:p>
      </w:tc>
    </w:tr>
  </w:tbl>
  <w:p>
    <w:pPr>
      <w:pStyle w:val="21"/>
      <w:rPr>
        <w:lang w:val="sr-Latn-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E5A00"/>
    <w:multiLevelType w:val="multilevel"/>
    <w:tmpl w:val="048E5A00"/>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8C340C2"/>
    <w:multiLevelType w:val="multilevel"/>
    <w:tmpl w:val="08C340C2"/>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BB540ED"/>
    <w:multiLevelType w:val="multilevel"/>
    <w:tmpl w:val="0BB540E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F3037C4"/>
    <w:multiLevelType w:val="multilevel"/>
    <w:tmpl w:val="1F3037C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C456D0F"/>
    <w:multiLevelType w:val="multilevel"/>
    <w:tmpl w:val="3C456D0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C682E67"/>
    <w:multiLevelType w:val="multilevel"/>
    <w:tmpl w:val="3C682E6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2951C73"/>
    <w:multiLevelType w:val="multilevel"/>
    <w:tmpl w:val="42951C7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ECC137F"/>
    <w:multiLevelType w:val="multilevel"/>
    <w:tmpl w:val="5ECC137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6BBA0009"/>
    <w:multiLevelType w:val="multilevel"/>
    <w:tmpl w:val="6BBA000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ascii="Calibri" w:hAnsi="Calibri"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num>
  <w:num w:numId="2">
    <w:abstractNumId w:val="3"/>
  </w:num>
  <w:num w:numId="3">
    <w:abstractNumId w:val="4"/>
  </w:num>
  <w:num w:numId="4">
    <w:abstractNumId w:val="2"/>
  </w:num>
  <w:num w:numId="5">
    <w:abstractNumId w:val="6"/>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s7Q0NzSxNLG0NDZV0lEKTi0uzszPAykwqgUABs5sRywAAAA="/>
  </w:docVars>
  <w:rsids>
    <w:rsidRoot w:val="00D0312A"/>
    <w:rsid w:val="00003AE2"/>
    <w:rsid w:val="00012613"/>
    <w:rsid w:val="00017562"/>
    <w:rsid w:val="00021D3E"/>
    <w:rsid w:val="00022F2B"/>
    <w:rsid w:val="0002348F"/>
    <w:rsid w:val="000252A3"/>
    <w:rsid w:val="00030467"/>
    <w:rsid w:val="000304A9"/>
    <w:rsid w:val="0003490B"/>
    <w:rsid w:val="000416E6"/>
    <w:rsid w:val="0004590D"/>
    <w:rsid w:val="000479CD"/>
    <w:rsid w:val="00054492"/>
    <w:rsid w:val="0005666D"/>
    <w:rsid w:val="00057E25"/>
    <w:rsid w:val="00061AD3"/>
    <w:rsid w:val="00066004"/>
    <w:rsid w:val="00066DA1"/>
    <w:rsid w:val="00071633"/>
    <w:rsid w:val="00071915"/>
    <w:rsid w:val="00072229"/>
    <w:rsid w:val="0007274F"/>
    <w:rsid w:val="00074B06"/>
    <w:rsid w:val="00080881"/>
    <w:rsid w:val="0008249B"/>
    <w:rsid w:val="00082E9E"/>
    <w:rsid w:val="00083AB4"/>
    <w:rsid w:val="00084CCD"/>
    <w:rsid w:val="00085CCB"/>
    <w:rsid w:val="00085DAC"/>
    <w:rsid w:val="00085E4D"/>
    <w:rsid w:val="00087156"/>
    <w:rsid w:val="00087C0D"/>
    <w:rsid w:val="00090CB6"/>
    <w:rsid w:val="000930E1"/>
    <w:rsid w:val="00096C75"/>
    <w:rsid w:val="00096C8A"/>
    <w:rsid w:val="000A227A"/>
    <w:rsid w:val="000A24C6"/>
    <w:rsid w:val="000A468B"/>
    <w:rsid w:val="000A5D8F"/>
    <w:rsid w:val="000A69AE"/>
    <w:rsid w:val="000A6E17"/>
    <w:rsid w:val="000A72FB"/>
    <w:rsid w:val="000B0134"/>
    <w:rsid w:val="000C13F8"/>
    <w:rsid w:val="000C38ED"/>
    <w:rsid w:val="000C4387"/>
    <w:rsid w:val="000C5DC3"/>
    <w:rsid w:val="000D2323"/>
    <w:rsid w:val="000D26F1"/>
    <w:rsid w:val="000D2B09"/>
    <w:rsid w:val="000D6E75"/>
    <w:rsid w:val="000D77E2"/>
    <w:rsid w:val="000D7828"/>
    <w:rsid w:val="000E02F9"/>
    <w:rsid w:val="000E37A7"/>
    <w:rsid w:val="000E487A"/>
    <w:rsid w:val="000E48DD"/>
    <w:rsid w:val="000E5F61"/>
    <w:rsid w:val="000F1FAB"/>
    <w:rsid w:val="000F4D36"/>
    <w:rsid w:val="00101FB1"/>
    <w:rsid w:val="00103048"/>
    <w:rsid w:val="00111AF2"/>
    <w:rsid w:val="0011333D"/>
    <w:rsid w:val="001136EB"/>
    <w:rsid w:val="00120706"/>
    <w:rsid w:val="00120B66"/>
    <w:rsid w:val="00120F90"/>
    <w:rsid w:val="00121107"/>
    <w:rsid w:val="00122A6E"/>
    <w:rsid w:val="001259E6"/>
    <w:rsid w:val="00126962"/>
    <w:rsid w:val="00132809"/>
    <w:rsid w:val="00133C76"/>
    <w:rsid w:val="00133D1A"/>
    <w:rsid w:val="00134BB7"/>
    <w:rsid w:val="00135D30"/>
    <w:rsid w:val="001360B5"/>
    <w:rsid w:val="0013617A"/>
    <w:rsid w:val="00142CE1"/>
    <w:rsid w:val="0014340A"/>
    <w:rsid w:val="00151E54"/>
    <w:rsid w:val="001532DC"/>
    <w:rsid w:val="00153BD3"/>
    <w:rsid w:val="001549E3"/>
    <w:rsid w:val="001579B3"/>
    <w:rsid w:val="0016119A"/>
    <w:rsid w:val="00161212"/>
    <w:rsid w:val="00165642"/>
    <w:rsid w:val="0016640D"/>
    <w:rsid w:val="00166C95"/>
    <w:rsid w:val="00172C9F"/>
    <w:rsid w:val="00172D55"/>
    <w:rsid w:val="001741A5"/>
    <w:rsid w:val="001744EA"/>
    <w:rsid w:val="001772DB"/>
    <w:rsid w:val="00181A03"/>
    <w:rsid w:val="00182252"/>
    <w:rsid w:val="001861D7"/>
    <w:rsid w:val="00187DCD"/>
    <w:rsid w:val="00191CD5"/>
    <w:rsid w:val="00192E49"/>
    <w:rsid w:val="001939D9"/>
    <w:rsid w:val="00194C9F"/>
    <w:rsid w:val="001A0A0F"/>
    <w:rsid w:val="001A1B73"/>
    <w:rsid w:val="001A2692"/>
    <w:rsid w:val="001A59D5"/>
    <w:rsid w:val="001A71E0"/>
    <w:rsid w:val="001B299B"/>
    <w:rsid w:val="001B3A12"/>
    <w:rsid w:val="001C67A2"/>
    <w:rsid w:val="001D2F38"/>
    <w:rsid w:val="001D3765"/>
    <w:rsid w:val="001D3C6F"/>
    <w:rsid w:val="001D45D4"/>
    <w:rsid w:val="001D4620"/>
    <w:rsid w:val="001E395C"/>
    <w:rsid w:val="001E77FC"/>
    <w:rsid w:val="001E7AFC"/>
    <w:rsid w:val="001F1BB5"/>
    <w:rsid w:val="001F299A"/>
    <w:rsid w:val="001F3539"/>
    <w:rsid w:val="001F4239"/>
    <w:rsid w:val="001F5224"/>
    <w:rsid w:val="001F7C92"/>
    <w:rsid w:val="002010C7"/>
    <w:rsid w:val="00204CC5"/>
    <w:rsid w:val="002057E8"/>
    <w:rsid w:val="00205865"/>
    <w:rsid w:val="00205E07"/>
    <w:rsid w:val="00211A28"/>
    <w:rsid w:val="00212249"/>
    <w:rsid w:val="002144D8"/>
    <w:rsid w:val="00217D9F"/>
    <w:rsid w:val="0022027B"/>
    <w:rsid w:val="0022038E"/>
    <w:rsid w:val="00220843"/>
    <w:rsid w:val="00223FB6"/>
    <w:rsid w:val="00225B7D"/>
    <w:rsid w:val="002261DE"/>
    <w:rsid w:val="002265C0"/>
    <w:rsid w:val="002334B9"/>
    <w:rsid w:val="00235D4D"/>
    <w:rsid w:val="002401AF"/>
    <w:rsid w:val="00240468"/>
    <w:rsid w:val="0024092F"/>
    <w:rsid w:val="002409D1"/>
    <w:rsid w:val="00242B2E"/>
    <w:rsid w:val="0024334A"/>
    <w:rsid w:val="00243E5C"/>
    <w:rsid w:val="002447AA"/>
    <w:rsid w:val="0025568E"/>
    <w:rsid w:val="002571EA"/>
    <w:rsid w:val="00262372"/>
    <w:rsid w:val="002633C3"/>
    <w:rsid w:val="002667CE"/>
    <w:rsid w:val="00270A45"/>
    <w:rsid w:val="00270FE6"/>
    <w:rsid w:val="0027541F"/>
    <w:rsid w:val="00275B92"/>
    <w:rsid w:val="002764ED"/>
    <w:rsid w:val="002767FE"/>
    <w:rsid w:val="00277D6F"/>
    <w:rsid w:val="00280DC0"/>
    <w:rsid w:val="00280E5E"/>
    <w:rsid w:val="00282BA1"/>
    <w:rsid w:val="002838A5"/>
    <w:rsid w:val="002854B0"/>
    <w:rsid w:val="00294151"/>
    <w:rsid w:val="002948DB"/>
    <w:rsid w:val="00295105"/>
    <w:rsid w:val="00295EDB"/>
    <w:rsid w:val="0029783D"/>
    <w:rsid w:val="002A4B14"/>
    <w:rsid w:val="002A6E52"/>
    <w:rsid w:val="002B118A"/>
    <w:rsid w:val="002B33F7"/>
    <w:rsid w:val="002B6030"/>
    <w:rsid w:val="002B664A"/>
    <w:rsid w:val="002B7952"/>
    <w:rsid w:val="002C22F3"/>
    <w:rsid w:val="002C6C25"/>
    <w:rsid w:val="002D2CD4"/>
    <w:rsid w:val="002D3A14"/>
    <w:rsid w:val="002D4507"/>
    <w:rsid w:val="002D578C"/>
    <w:rsid w:val="002D6E07"/>
    <w:rsid w:val="002D6EB2"/>
    <w:rsid w:val="002E30C5"/>
    <w:rsid w:val="002E40C0"/>
    <w:rsid w:val="002F1E9F"/>
    <w:rsid w:val="002F225D"/>
    <w:rsid w:val="002F3D1E"/>
    <w:rsid w:val="002F6DEA"/>
    <w:rsid w:val="002F7232"/>
    <w:rsid w:val="00303EE8"/>
    <w:rsid w:val="00304495"/>
    <w:rsid w:val="00305C3A"/>
    <w:rsid w:val="00310391"/>
    <w:rsid w:val="00310D73"/>
    <w:rsid w:val="00311D55"/>
    <w:rsid w:val="00313642"/>
    <w:rsid w:val="00317B3E"/>
    <w:rsid w:val="00320C4F"/>
    <w:rsid w:val="00321FA2"/>
    <w:rsid w:val="00323A69"/>
    <w:rsid w:val="0032419C"/>
    <w:rsid w:val="003256E2"/>
    <w:rsid w:val="00325D4D"/>
    <w:rsid w:val="00325D57"/>
    <w:rsid w:val="00326300"/>
    <w:rsid w:val="0032642C"/>
    <w:rsid w:val="0033083C"/>
    <w:rsid w:val="0033455F"/>
    <w:rsid w:val="003351A3"/>
    <w:rsid w:val="00336A02"/>
    <w:rsid w:val="00344AD3"/>
    <w:rsid w:val="00347588"/>
    <w:rsid w:val="00352719"/>
    <w:rsid w:val="00352D97"/>
    <w:rsid w:val="00353453"/>
    <w:rsid w:val="003556DA"/>
    <w:rsid w:val="0035585E"/>
    <w:rsid w:val="00360CBB"/>
    <w:rsid w:val="00361CD5"/>
    <w:rsid w:val="00361F6F"/>
    <w:rsid w:val="0036209C"/>
    <w:rsid w:val="003639D9"/>
    <w:rsid w:val="00363AFD"/>
    <w:rsid w:val="00364A11"/>
    <w:rsid w:val="003657E1"/>
    <w:rsid w:val="00377ECB"/>
    <w:rsid w:val="00380296"/>
    <w:rsid w:val="0038066B"/>
    <w:rsid w:val="00385526"/>
    <w:rsid w:val="00385AAB"/>
    <w:rsid w:val="003919C9"/>
    <w:rsid w:val="00397196"/>
    <w:rsid w:val="0039787B"/>
    <w:rsid w:val="003A136C"/>
    <w:rsid w:val="003A3C66"/>
    <w:rsid w:val="003A44BD"/>
    <w:rsid w:val="003A6913"/>
    <w:rsid w:val="003B089B"/>
    <w:rsid w:val="003B3B18"/>
    <w:rsid w:val="003B44D9"/>
    <w:rsid w:val="003B62F4"/>
    <w:rsid w:val="003B6AC1"/>
    <w:rsid w:val="003B712C"/>
    <w:rsid w:val="003C7AB3"/>
    <w:rsid w:val="003D30CD"/>
    <w:rsid w:val="003E20EA"/>
    <w:rsid w:val="003E5BC4"/>
    <w:rsid w:val="003E60D5"/>
    <w:rsid w:val="003E6285"/>
    <w:rsid w:val="003E69B0"/>
    <w:rsid w:val="003E6B43"/>
    <w:rsid w:val="003E726E"/>
    <w:rsid w:val="003E74B4"/>
    <w:rsid w:val="003F367F"/>
    <w:rsid w:val="003F40DA"/>
    <w:rsid w:val="003F5185"/>
    <w:rsid w:val="003F5F97"/>
    <w:rsid w:val="003F64BA"/>
    <w:rsid w:val="003F783E"/>
    <w:rsid w:val="00401D00"/>
    <w:rsid w:val="00407FC1"/>
    <w:rsid w:val="004107B7"/>
    <w:rsid w:val="00413BD4"/>
    <w:rsid w:val="00414FDE"/>
    <w:rsid w:val="004168B7"/>
    <w:rsid w:val="00420737"/>
    <w:rsid w:val="00421A4A"/>
    <w:rsid w:val="00422252"/>
    <w:rsid w:val="00422B95"/>
    <w:rsid w:val="004233CE"/>
    <w:rsid w:val="00426223"/>
    <w:rsid w:val="00433DC4"/>
    <w:rsid w:val="00434AB2"/>
    <w:rsid w:val="00435303"/>
    <w:rsid w:val="0043670A"/>
    <w:rsid w:val="0044479A"/>
    <w:rsid w:val="00444802"/>
    <w:rsid w:val="004473CF"/>
    <w:rsid w:val="00451C39"/>
    <w:rsid w:val="00452E3F"/>
    <w:rsid w:val="00454A9C"/>
    <w:rsid w:val="0045720C"/>
    <w:rsid w:val="00462B74"/>
    <w:rsid w:val="00463E6C"/>
    <w:rsid w:val="00464F08"/>
    <w:rsid w:val="00466331"/>
    <w:rsid w:val="00466E9E"/>
    <w:rsid w:val="004730D9"/>
    <w:rsid w:val="0047347F"/>
    <w:rsid w:val="00474EAC"/>
    <w:rsid w:val="00480325"/>
    <w:rsid w:val="00482C74"/>
    <w:rsid w:val="00483AA2"/>
    <w:rsid w:val="0048449D"/>
    <w:rsid w:val="00484C70"/>
    <w:rsid w:val="00484CFE"/>
    <w:rsid w:val="0049179B"/>
    <w:rsid w:val="00492D16"/>
    <w:rsid w:val="004939D2"/>
    <w:rsid w:val="00494678"/>
    <w:rsid w:val="00497964"/>
    <w:rsid w:val="004A1307"/>
    <w:rsid w:val="004A4182"/>
    <w:rsid w:val="004A4F40"/>
    <w:rsid w:val="004A7A1B"/>
    <w:rsid w:val="004A7E21"/>
    <w:rsid w:val="004B0A56"/>
    <w:rsid w:val="004B15F0"/>
    <w:rsid w:val="004B2177"/>
    <w:rsid w:val="004C151F"/>
    <w:rsid w:val="004C4FC3"/>
    <w:rsid w:val="004C6901"/>
    <w:rsid w:val="004D170A"/>
    <w:rsid w:val="004D1EA8"/>
    <w:rsid w:val="004D2189"/>
    <w:rsid w:val="004D2790"/>
    <w:rsid w:val="004D431A"/>
    <w:rsid w:val="004D48D9"/>
    <w:rsid w:val="004D5A31"/>
    <w:rsid w:val="004E444F"/>
    <w:rsid w:val="004F0159"/>
    <w:rsid w:val="004F101F"/>
    <w:rsid w:val="004F1444"/>
    <w:rsid w:val="004F233B"/>
    <w:rsid w:val="004F632D"/>
    <w:rsid w:val="005034AC"/>
    <w:rsid w:val="00506CC8"/>
    <w:rsid w:val="00506E0B"/>
    <w:rsid w:val="00512224"/>
    <w:rsid w:val="00512AD4"/>
    <w:rsid w:val="005146A3"/>
    <w:rsid w:val="005164BC"/>
    <w:rsid w:val="0051764E"/>
    <w:rsid w:val="005234B6"/>
    <w:rsid w:val="005246AD"/>
    <w:rsid w:val="00526294"/>
    <w:rsid w:val="00532321"/>
    <w:rsid w:val="00532682"/>
    <w:rsid w:val="005352D5"/>
    <w:rsid w:val="00535AD1"/>
    <w:rsid w:val="00540D93"/>
    <w:rsid w:val="0054168B"/>
    <w:rsid w:val="005422C7"/>
    <w:rsid w:val="0054478C"/>
    <w:rsid w:val="00550846"/>
    <w:rsid w:val="005509FA"/>
    <w:rsid w:val="00551012"/>
    <w:rsid w:val="005529C4"/>
    <w:rsid w:val="00554529"/>
    <w:rsid w:val="00563711"/>
    <w:rsid w:val="0056561B"/>
    <w:rsid w:val="00566080"/>
    <w:rsid w:val="00566B21"/>
    <w:rsid w:val="005728E9"/>
    <w:rsid w:val="00573544"/>
    <w:rsid w:val="00580C0B"/>
    <w:rsid w:val="00583216"/>
    <w:rsid w:val="00583B41"/>
    <w:rsid w:val="00586946"/>
    <w:rsid w:val="005903AE"/>
    <w:rsid w:val="00590B63"/>
    <w:rsid w:val="00594F43"/>
    <w:rsid w:val="005955D5"/>
    <w:rsid w:val="00597BED"/>
    <w:rsid w:val="005A093E"/>
    <w:rsid w:val="005A0B20"/>
    <w:rsid w:val="005A367E"/>
    <w:rsid w:val="005A7715"/>
    <w:rsid w:val="005B36F0"/>
    <w:rsid w:val="005B3D25"/>
    <w:rsid w:val="005B6A30"/>
    <w:rsid w:val="005B6ADB"/>
    <w:rsid w:val="005C0D4C"/>
    <w:rsid w:val="005C1F5A"/>
    <w:rsid w:val="005C29E9"/>
    <w:rsid w:val="005C64AD"/>
    <w:rsid w:val="005C65D2"/>
    <w:rsid w:val="005D0172"/>
    <w:rsid w:val="005D10AB"/>
    <w:rsid w:val="005D1956"/>
    <w:rsid w:val="005D29F4"/>
    <w:rsid w:val="005D2CA6"/>
    <w:rsid w:val="005E0481"/>
    <w:rsid w:val="005E35DA"/>
    <w:rsid w:val="005E44AA"/>
    <w:rsid w:val="005E70B8"/>
    <w:rsid w:val="005E73F7"/>
    <w:rsid w:val="005F292B"/>
    <w:rsid w:val="005F2E59"/>
    <w:rsid w:val="005F44B0"/>
    <w:rsid w:val="005F7DC4"/>
    <w:rsid w:val="00605A69"/>
    <w:rsid w:val="006120D9"/>
    <w:rsid w:val="006146E7"/>
    <w:rsid w:val="00615A64"/>
    <w:rsid w:val="00616A2B"/>
    <w:rsid w:val="00617C62"/>
    <w:rsid w:val="00620695"/>
    <w:rsid w:val="00620A5C"/>
    <w:rsid w:val="006213B6"/>
    <w:rsid w:val="00622AEB"/>
    <w:rsid w:val="006260F4"/>
    <w:rsid w:val="0062706D"/>
    <w:rsid w:val="00627113"/>
    <w:rsid w:val="00627FA7"/>
    <w:rsid w:val="00631898"/>
    <w:rsid w:val="00632175"/>
    <w:rsid w:val="006322F8"/>
    <w:rsid w:val="00632BA2"/>
    <w:rsid w:val="00633987"/>
    <w:rsid w:val="00634B6B"/>
    <w:rsid w:val="0063594A"/>
    <w:rsid w:val="0063782C"/>
    <w:rsid w:val="006402F6"/>
    <w:rsid w:val="0064163B"/>
    <w:rsid w:val="006432EB"/>
    <w:rsid w:val="006454D0"/>
    <w:rsid w:val="00646B19"/>
    <w:rsid w:val="006479F5"/>
    <w:rsid w:val="0065088C"/>
    <w:rsid w:val="006518EF"/>
    <w:rsid w:val="006546DD"/>
    <w:rsid w:val="00654713"/>
    <w:rsid w:val="00657498"/>
    <w:rsid w:val="0066367E"/>
    <w:rsid w:val="00667F05"/>
    <w:rsid w:val="0067280F"/>
    <w:rsid w:val="00673FDB"/>
    <w:rsid w:val="00674026"/>
    <w:rsid w:val="006753CF"/>
    <w:rsid w:val="00675D3D"/>
    <w:rsid w:val="006802D7"/>
    <w:rsid w:val="00683013"/>
    <w:rsid w:val="0068463B"/>
    <w:rsid w:val="006847E1"/>
    <w:rsid w:val="00685ADB"/>
    <w:rsid w:val="00685B6F"/>
    <w:rsid w:val="00685DD3"/>
    <w:rsid w:val="006861EA"/>
    <w:rsid w:val="006869C2"/>
    <w:rsid w:val="00692153"/>
    <w:rsid w:val="00692528"/>
    <w:rsid w:val="0069626C"/>
    <w:rsid w:val="006A0390"/>
    <w:rsid w:val="006A0C38"/>
    <w:rsid w:val="006A2EB4"/>
    <w:rsid w:val="006A4FF1"/>
    <w:rsid w:val="006B09B6"/>
    <w:rsid w:val="006B1F07"/>
    <w:rsid w:val="006B38B0"/>
    <w:rsid w:val="006B79D1"/>
    <w:rsid w:val="006C1A12"/>
    <w:rsid w:val="006C24CE"/>
    <w:rsid w:val="006C4650"/>
    <w:rsid w:val="006C4AEF"/>
    <w:rsid w:val="006C728F"/>
    <w:rsid w:val="006D2E54"/>
    <w:rsid w:val="006D4F15"/>
    <w:rsid w:val="006D5839"/>
    <w:rsid w:val="006E18EF"/>
    <w:rsid w:val="006E2916"/>
    <w:rsid w:val="006E3CEF"/>
    <w:rsid w:val="006E5A35"/>
    <w:rsid w:val="006E6BD2"/>
    <w:rsid w:val="006F085D"/>
    <w:rsid w:val="006F4361"/>
    <w:rsid w:val="006F629C"/>
    <w:rsid w:val="006F79D8"/>
    <w:rsid w:val="00703911"/>
    <w:rsid w:val="0072082F"/>
    <w:rsid w:val="00725A9F"/>
    <w:rsid w:val="00726A2C"/>
    <w:rsid w:val="007321AD"/>
    <w:rsid w:val="0073291C"/>
    <w:rsid w:val="007431CF"/>
    <w:rsid w:val="007435C4"/>
    <w:rsid w:val="00744597"/>
    <w:rsid w:val="007453AE"/>
    <w:rsid w:val="00746C59"/>
    <w:rsid w:val="00747BA1"/>
    <w:rsid w:val="00750CC2"/>
    <w:rsid w:val="00751420"/>
    <w:rsid w:val="00752AEC"/>
    <w:rsid w:val="0075322F"/>
    <w:rsid w:val="00753E3A"/>
    <w:rsid w:val="00760B48"/>
    <w:rsid w:val="00763CD5"/>
    <w:rsid w:val="00763D95"/>
    <w:rsid w:val="007659D2"/>
    <w:rsid w:val="00767DA8"/>
    <w:rsid w:val="00770E21"/>
    <w:rsid w:val="00771854"/>
    <w:rsid w:val="007724D2"/>
    <w:rsid w:val="0077322A"/>
    <w:rsid w:val="007751B9"/>
    <w:rsid w:val="00775F17"/>
    <w:rsid w:val="00776E0D"/>
    <w:rsid w:val="0077757C"/>
    <w:rsid w:val="00780ADF"/>
    <w:rsid w:val="0078397C"/>
    <w:rsid w:val="00783CDC"/>
    <w:rsid w:val="00783E9D"/>
    <w:rsid w:val="00787D68"/>
    <w:rsid w:val="00787E69"/>
    <w:rsid w:val="00792B9A"/>
    <w:rsid w:val="007931D2"/>
    <w:rsid w:val="00796BBC"/>
    <w:rsid w:val="007B00FD"/>
    <w:rsid w:val="007B2C55"/>
    <w:rsid w:val="007B5802"/>
    <w:rsid w:val="007B6EF6"/>
    <w:rsid w:val="007B7A63"/>
    <w:rsid w:val="007B7C7F"/>
    <w:rsid w:val="007C1B92"/>
    <w:rsid w:val="007C4799"/>
    <w:rsid w:val="007C4A21"/>
    <w:rsid w:val="007C4AC1"/>
    <w:rsid w:val="007C74C7"/>
    <w:rsid w:val="007D05A3"/>
    <w:rsid w:val="007D0D24"/>
    <w:rsid w:val="007D6043"/>
    <w:rsid w:val="007D7F97"/>
    <w:rsid w:val="007E1D6E"/>
    <w:rsid w:val="007E4D5A"/>
    <w:rsid w:val="007E639C"/>
    <w:rsid w:val="007E6DD2"/>
    <w:rsid w:val="007E7086"/>
    <w:rsid w:val="007E7220"/>
    <w:rsid w:val="007F10FB"/>
    <w:rsid w:val="00801718"/>
    <w:rsid w:val="00805F48"/>
    <w:rsid w:val="0080620C"/>
    <w:rsid w:val="00806EBF"/>
    <w:rsid w:val="008123F1"/>
    <w:rsid w:val="0081287A"/>
    <w:rsid w:val="008163CA"/>
    <w:rsid w:val="00816E7B"/>
    <w:rsid w:val="00820984"/>
    <w:rsid w:val="00825D63"/>
    <w:rsid w:val="00832F70"/>
    <w:rsid w:val="00835ABB"/>
    <w:rsid w:val="00837210"/>
    <w:rsid w:val="008376E9"/>
    <w:rsid w:val="0084559C"/>
    <w:rsid w:val="008508BE"/>
    <w:rsid w:val="00851003"/>
    <w:rsid w:val="008548F4"/>
    <w:rsid w:val="00854CDE"/>
    <w:rsid w:val="00855D38"/>
    <w:rsid w:val="00855EE1"/>
    <w:rsid w:val="0085603B"/>
    <w:rsid w:val="008601AB"/>
    <w:rsid w:val="0086025F"/>
    <w:rsid w:val="008602CE"/>
    <w:rsid w:val="00863461"/>
    <w:rsid w:val="00864EE8"/>
    <w:rsid w:val="0087139A"/>
    <w:rsid w:val="008723AB"/>
    <w:rsid w:val="0087268D"/>
    <w:rsid w:val="0087430C"/>
    <w:rsid w:val="00874602"/>
    <w:rsid w:val="00875078"/>
    <w:rsid w:val="008757F2"/>
    <w:rsid w:val="008775E2"/>
    <w:rsid w:val="008821D1"/>
    <w:rsid w:val="0088468E"/>
    <w:rsid w:val="0088694A"/>
    <w:rsid w:val="008925CF"/>
    <w:rsid w:val="00892776"/>
    <w:rsid w:val="00892EAF"/>
    <w:rsid w:val="00893C3E"/>
    <w:rsid w:val="008945CF"/>
    <w:rsid w:val="008979D0"/>
    <w:rsid w:val="008A5F27"/>
    <w:rsid w:val="008A6F4E"/>
    <w:rsid w:val="008B218E"/>
    <w:rsid w:val="008B39D4"/>
    <w:rsid w:val="008B4C1B"/>
    <w:rsid w:val="008B4DC2"/>
    <w:rsid w:val="008B54DB"/>
    <w:rsid w:val="008B5D3A"/>
    <w:rsid w:val="008B6732"/>
    <w:rsid w:val="008C14D6"/>
    <w:rsid w:val="008C5EEC"/>
    <w:rsid w:val="008D1000"/>
    <w:rsid w:val="008D1878"/>
    <w:rsid w:val="008D5C87"/>
    <w:rsid w:val="008D62AC"/>
    <w:rsid w:val="008D68FB"/>
    <w:rsid w:val="008E12EC"/>
    <w:rsid w:val="008E4DF1"/>
    <w:rsid w:val="008E565F"/>
    <w:rsid w:val="008E7EA8"/>
    <w:rsid w:val="008F53B8"/>
    <w:rsid w:val="00905B0E"/>
    <w:rsid w:val="00906283"/>
    <w:rsid w:val="00906FBB"/>
    <w:rsid w:val="009118AF"/>
    <w:rsid w:val="00914098"/>
    <w:rsid w:val="00914CAA"/>
    <w:rsid w:val="00916CB8"/>
    <w:rsid w:val="00917442"/>
    <w:rsid w:val="00920BD7"/>
    <w:rsid w:val="00921D7F"/>
    <w:rsid w:val="00933BD7"/>
    <w:rsid w:val="00935B93"/>
    <w:rsid w:val="00936A13"/>
    <w:rsid w:val="0093766F"/>
    <w:rsid w:val="0094057B"/>
    <w:rsid w:val="00942722"/>
    <w:rsid w:val="009432B6"/>
    <w:rsid w:val="00944D97"/>
    <w:rsid w:val="00944F51"/>
    <w:rsid w:val="00945F6C"/>
    <w:rsid w:val="00946FEE"/>
    <w:rsid w:val="0094707B"/>
    <w:rsid w:val="00950FC4"/>
    <w:rsid w:val="0095368E"/>
    <w:rsid w:val="00954042"/>
    <w:rsid w:val="00955697"/>
    <w:rsid w:val="0095622F"/>
    <w:rsid w:val="00956B83"/>
    <w:rsid w:val="00965174"/>
    <w:rsid w:val="00970F70"/>
    <w:rsid w:val="00972BF3"/>
    <w:rsid w:val="009737C9"/>
    <w:rsid w:val="00981421"/>
    <w:rsid w:val="00984FF4"/>
    <w:rsid w:val="00986176"/>
    <w:rsid w:val="00986A22"/>
    <w:rsid w:val="009871F8"/>
    <w:rsid w:val="009943BA"/>
    <w:rsid w:val="00996679"/>
    <w:rsid w:val="009A0DAC"/>
    <w:rsid w:val="009A22F4"/>
    <w:rsid w:val="009A5816"/>
    <w:rsid w:val="009A6E61"/>
    <w:rsid w:val="009B0F9F"/>
    <w:rsid w:val="009B5920"/>
    <w:rsid w:val="009C046E"/>
    <w:rsid w:val="009C0508"/>
    <w:rsid w:val="009C2523"/>
    <w:rsid w:val="009C2D46"/>
    <w:rsid w:val="009C2FF6"/>
    <w:rsid w:val="009C3C09"/>
    <w:rsid w:val="009C5DD3"/>
    <w:rsid w:val="009C6B9C"/>
    <w:rsid w:val="009D18B5"/>
    <w:rsid w:val="009D19EE"/>
    <w:rsid w:val="009D2A0E"/>
    <w:rsid w:val="009D41F7"/>
    <w:rsid w:val="009D669C"/>
    <w:rsid w:val="009D6884"/>
    <w:rsid w:val="009D7353"/>
    <w:rsid w:val="009D7C71"/>
    <w:rsid w:val="009E7F29"/>
    <w:rsid w:val="009F3508"/>
    <w:rsid w:val="009F585F"/>
    <w:rsid w:val="009F7F34"/>
    <w:rsid w:val="00A0726D"/>
    <w:rsid w:val="00A1079A"/>
    <w:rsid w:val="00A10C7B"/>
    <w:rsid w:val="00A11FA8"/>
    <w:rsid w:val="00A12B8B"/>
    <w:rsid w:val="00A1408C"/>
    <w:rsid w:val="00A17CDA"/>
    <w:rsid w:val="00A23252"/>
    <w:rsid w:val="00A26B66"/>
    <w:rsid w:val="00A34EC8"/>
    <w:rsid w:val="00A35AC3"/>
    <w:rsid w:val="00A4084C"/>
    <w:rsid w:val="00A41ED4"/>
    <w:rsid w:val="00A45C24"/>
    <w:rsid w:val="00A45D5A"/>
    <w:rsid w:val="00A50275"/>
    <w:rsid w:val="00A53025"/>
    <w:rsid w:val="00A53443"/>
    <w:rsid w:val="00A53E05"/>
    <w:rsid w:val="00A541EF"/>
    <w:rsid w:val="00A5522C"/>
    <w:rsid w:val="00A56B7A"/>
    <w:rsid w:val="00A63B19"/>
    <w:rsid w:val="00A63F99"/>
    <w:rsid w:val="00A72434"/>
    <w:rsid w:val="00A76AE4"/>
    <w:rsid w:val="00A77BDD"/>
    <w:rsid w:val="00A77D1E"/>
    <w:rsid w:val="00A8353A"/>
    <w:rsid w:val="00A96D20"/>
    <w:rsid w:val="00AA0750"/>
    <w:rsid w:val="00AA07B1"/>
    <w:rsid w:val="00AA16D5"/>
    <w:rsid w:val="00AA4834"/>
    <w:rsid w:val="00AA487F"/>
    <w:rsid w:val="00AA49D1"/>
    <w:rsid w:val="00AA5AC2"/>
    <w:rsid w:val="00AA6EB4"/>
    <w:rsid w:val="00AB4493"/>
    <w:rsid w:val="00AB58C7"/>
    <w:rsid w:val="00AB7025"/>
    <w:rsid w:val="00AB7473"/>
    <w:rsid w:val="00AC29E0"/>
    <w:rsid w:val="00AC380F"/>
    <w:rsid w:val="00AC65BB"/>
    <w:rsid w:val="00AC6E33"/>
    <w:rsid w:val="00AC7F58"/>
    <w:rsid w:val="00AD38A2"/>
    <w:rsid w:val="00AD53FA"/>
    <w:rsid w:val="00AD5472"/>
    <w:rsid w:val="00AD60E0"/>
    <w:rsid w:val="00AD65AD"/>
    <w:rsid w:val="00AE154C"/>
    <w:rsid w:val="00AE1AE0"/>
    <w:rsid w:val="00AE1CCA"/>
    <w:rsid w:val="00AE208B"/>
    <w:rsid w:val="00AE2E35"/>
    <w:rsid w:val="00AF02BD"/>
    <w:rsid w:val="00AF0F97"/>
    <w:rsid w:val="00AF1651"/>
    <w:rsid w:val="00AF3FD1"/>
    <w:rsid w:val="00AF5148"/>
    <w:rsid w:val="00B0005A"/>
    <w:rsid w:val="00B0057D"/>
    <w:rsid w:val="00B00D45"/>
    <w:rsid w:val="00B01D01"/>
    <w:rsid w:val="00B0330D"/>
    <w:rsid w:val="00B05430"/>
    <w:rsid w:val="00B06C7F"/>
    <w:rsid w:val="00B1139E"/>
    <w:rsid w:val="00B13CE4"/>
    <w:rsid w:val="00B14007"/>
    <w:rsid w:val="00B204DB"/>
    <w:rsid w:val="00B2298A"/>
    <w:rsid w:val="00B24961"/>
    <w:rsid w:val="00B2642E"/>
    <w:rsid w:val="00B274C4"/>
    <w:rsid w:val="00B32A4B"/>
    <w:rsid w:val="00B41D92"/>
    <w:rsid w:val="00B436F7"/>
    <w:rsid w:val="00B50563"/>
    <w:rsid w:val="00B5100B"/>
    <w:rsid w:val="00B53DB2"/>
    <w:rsid w:val="00B5454F"/>
    <w:rsid w:val="00B547D4"/>
    <w:rsid w:val="00B6125D"/>
    <w:rsid w:val="00B6332E"/>
    <w:rsid w:val="00B63B42"/>
    <w:rsid w:val="00B64852"/>
    <w:rsid w:val="00B64B2E"/>
    <w:rsid w:val="00B65569"/>
    <w:rsid w:val="00B65A40"/>
    <w:rsid w:val="00B6706A"/>
    <w:rsid w:val="00B767F7"/>
    <w:rsid w:val="00B76A08"/>
    <w:rsid w:val="00B84C38"/>
    <w:rsid w:val="00B86837"/>
    <w:rsid w:val="00B86DE8"/>
    <w:rsid w:val="00B91B0B"/>
    <w:rsid w:val="00B972F4"/>
    <w:rsid w:val="00B97518"/>
    <w:rsid w:val="00BA064A"/>
    <w:rsid w:val="00BA0A7E"/>
    <w:rsid w:val="00BA4F41"/>
    <w:rsid w:val="00BA5109"/>
    <w:rsid w:val="00BA596A"/>
    <w:rsid w:val="00BA7FD2"/>
    <w:rsid w:val="00BB18A1"/>
    <w:rsid w:val="00BB3169"/>
    <w:rsid w:val="00BB3738"/>
    <w:rsid w:val="00BB4002"/>
    <w:rsid w:val="00BB5803"/>
    <w:rsid w:val="00BB674C"/>
    <w:rsid w:val="00BC3C27"/>
    <w:rsid w:val="00BD0808"/>
    <w:rsid w:val="00BD0DBB"/>
    <w:rsid w:val="00BD388D"/>
    <w:rsid w:val="00BD5972"/>
    <w:rsid w:val="00BD71C1"/>
    <w:rsid w:val="00BE17B7"/>
    <w:rsid w:val="00BE29B2"/>
    <w:rsid w:val="00BE392F"/>
    <w:rsid w:val="00BE60AE"/>
    <w:rsid w:val="00BF08CD"/>
    <w:rsid w:val="00BF09AD"/>
    <w:rsid w:val="00BF13DC"/>
    <w:rsid w:val="00BF149E"/>
    <w:rsid w:val="00BF2E9E"/>
    <w:rsid w:val="00BF3979"/>
    <w:rsid w:val="00BF3CE5"/>
    <w:rsid w:val="00BF5EAF"/>
    <w:rsid w:val="00C00C21"/>
    <w:rsid w:val="00C026D8"/>
    <w:rsid w:val="00C04D2D"/>
    <w:rsid w:val="00C05DBA"/>
    <w:rsid w:val="00C05DD4"/>
    <w:rsid w:val="00C064D7"/>
    <w:rsid w:val="00C0665F"/>
    <w:rsid w:val="00C06E19"/>
    <w:rsid w:val="00C1001E"/>
    <w:rsid w:val="00C10646"/>
    <w:rsid w:val="00C116BF"/>
    <w:rsid w:val="00C15E71"/>
    <w:rsid w:val="00C20377"/>
    <w:rsid w:val="00C203F8"/>
    <w:rsid w:val="00C207BD"/>
    <w:rsid w:val="00C21374"/>
    <w:rsid w:val="00C26187"/>
    <w:rsid w:val="00C26900"/>
    <w:rsid w:val="00C270CB"/>
    <w:rsid w:val="00C31613"/>
    <w:rsid w:val="00C335D7"/>
    <w:rsid w:val="00C35A5B"/>
    <w:rsid w:val="00C41958"/>
    <w:rsid w:val="00C47FAF"/>
    <w:rsid w:val="00C5099A"/>
    <w:rsid w:val="00C525B1"/>
    <w:rsid w:val="00C542FB"/>
    <w:rsid w:val="00C561D8"/>
    <w:rsid w:val="00C574F0"/>
    <w:rsid w:val="00C57782"/>
    <w:rsid w:val="00C6243D"/>
    <w:rsid w:val="00C62BEF"/>
    <w:rsid w:val="00C62C3A"/>
    <w:rsid w:val="00C63DE4"/>
    <w:rsid w:val="00C65091"/>
    <w:rsid w:val="00C7082E"/>
    <w:rsid w:val="00C71352"/>
    <w:rsid w:val="00C72F82"/>
    <w:rsid w:val="00C763B0"/>
    <w:rsid w:val="00C77315"/>
    <w:rsid w:val="00C7778C"/>
    <w:rsid w:val="00C80EDB"/>
    <w:rsid w:val="00C824A8"/>
    <w:rsid w:val="00C87FFD"/>
    <w:rsid w:val="00C90866"/>
    <w:rsid w:val="00CA08C1"/>
    <w:rsid w:val="00CA0F10"/>
    <w:rsid w:val="00CA60BD"/>
    <w:rsid w:val="00CA78FD"/>
    <w:rsid w:val="00CB0A0C"/>
    <w:rsid w:val="00CB3424"/>
    <w:rsid w:val="00CB3887"/>
    <w:rsid w:val="00CB622B"/>
    <w:rsid w:val="00CC0ED9"/>
    <w:rsid w:val="00CC1557"/>
    <w:rsid w:val="00CC2BC4"/>
    <w:rsid w:val="00CC68CC"/>
    <w:rsid w:val="00CC6F92"/>
    <w:rsid w:val="00CC7852"/>
    <w:rsid w:val="00CD039F"/>
    <w:rsid w:val="00CD1E5F"/>
    <w:rsid w:val="00CD2E1B"/>
    <w:rsid w:val="00CD458D"/>
    <w:rsid w:val="00CD4777"/>
    <w:rsid w:val="00CD5A00"/>
    <w:rsid w:val="00CD6E1A"/>
    <w:rsid w:val="00CE09D4"/>
    <w:rsid w:val="00CE0D86"/>
    <w:rsid w:val="00CE4CA2"/>
    <w:rsid w:val="00CE737C"/>
    <w:rsid w:val="00CF0DB4"/>
    <w:rsid w:val="00CF144A"/>
    <w:rsid w:val="00D00D45"/>
    <w:rsid w:val="00D00F03"/>
    <w:rsid w:val="00D0312A"/>
    <w:rsid w:val="00D0539A"/>
    <w:rsid w:val="00D15367"/>
    <w:rsid w:val="00D165C7"/>
    <w:rsid w:val="00D1680D"/>
    <w:rsid w:val="00D24055"/>
    <w:rsid w:val="00D241DB"/>
    <w:rsid w:val="00D25E2B"/>
    <w:rsid w:val="00D26977"/>
    <w:rsid w:val="00D31E9C"/>
    <w:rsid w:val="00D32D63"/>
    <w:rsid w:val="00D368D9"/>
    <w:rsid w:val="00D518CD"/>
    <w:rsid w:val="00D55252"/>
    <w:rsid w:val="00D554E6"/>
    <w:rsid w:val="00D5658F"/>
    <w:rsid w:val="00D56E57"/>
    <w:rsid w:val="00D620F6"/>
    <w:rsid w:val="00D63357"/>
    <w:rsid w:val="00D660DE"/>
    <w:rsid w:val="00D7119D"/>
    <w:rsid w:val="00D71F54"/>
    <w:rsid w:val="00D72493"/>
    <w:rsid w:val="00D7429C"/>
    <w:rsid w:val="00D7452C"/>
    <w:rsid w:val="00D84019"/>
    <w:rsid w:val="00D84C7C"/>
    <w:rsid w:val="00D850B7"/>
    <w:rsid w:val="00D858A2"/>
    <w:rsid w:val="00D860FC"/>
    <w:rsid w:val="00D86655"/>
    <w:rsid w:val="00D9172F"/>
    <w:rsid w:val="00D93381"/>
    <w:rsid w:val="00D94527"/>
    <w:rsid w:val="00D94B82"/>
    <w:rsid w:val="00DA3670"/>
    <w:rsid w:val="00DA4C82"/>
    <w:rsid w:val="00DB22FB"/>
    <w:rsid w:val="00DB55E0"/>
    <w:rsid w:val="00DB6B6B"/>
    <w:rsid w:val="00DB7F89"/>
    <w:rsid w:val="00DC1050"/>
    <w:rsid w:val="00DC327D"/>
    <w:rsid w:val="00DC4766"/>
    <w:rsid w:val="00DC6438"/>
    <w:rsid w:val="00DC676F"/>
    <w:rsid w:val="00DD2777"/>
    <w:rsid w:val="00DE17A2"/>
    <w:rsid w:val="00DE29D8"/>
    <w:rsid w:val="00DE318D"/>
    <w:rsid w:val="00DE390E"/>
    <w:rsid w:val="00DE6065"/>
    <w:rsid w:val="00DF0849"/>
    <w:rsid w:val="00DF229E"/>
    <w:rsid w:val="00DF42E3"/>
    <w:rsid w:val="00DF7C69"/>
    <w:rsid w:val="00E02ECD"/>
    <w:rsid w:val="00E10807"/>
    <w:rsid w:val="00E11826"/>
    <w:rsid w:val="00E12B31"/>
    <w:rsid w:val="00E12E30"/>
    <w:rsid w:val="00E13A85"/>
    <w:rsid w:val="00E148EA"/>
    <w:rsid w:val="00E1603E"/>
    <w:rsid w:val="00E20288"/>
    <w:rsid w:val="00E20A78"/>
    <w:rsid w:val="00E23CB5"/>
    <w:rsid w:val="00E305FA"/>
    <w:rsid w:val="00E50963"/>
    <w:rsid w:val="00E514C1"/>
    <w:rsid w:val="00E52C8E"/>
    <w:rsid w:val="00E53B0E"/>
    <w:rsid w:val="00E5657E"/>
    <w:rsid w:val="00E577E3"/>
    <w:rsid w:val="00E602BF"/>
    <w:rsid w:val="00E669D8"/>
    <w:rsid w:val="00E706C8"/>
    <w:rsid w:val="00E710C4"/>
    <w:rsid w:val="00E71A0E"/>
    <w:rsid w:val="00E748B5"/>
    <w:rsid w:val="00E76204"/>
    <w:rsid w:val="00E778EA"/>
    <w:rsid w:val="00E82DC7"/>
    <w:rsid w:val="00E848A6"/>
    <w:rsid w:val="00E87B4F"/>
    <w:rsid w:val="00E904B5"/>
    <w:rsid w:val="00E905E0"/>
    <w:rsid w:val="00E94B8E"/>
    <w:rsid w:val="00E95100"/>
    <w:rsid w:val="00E959D9"/>
    <w:rsid w:val="00E97C57"/>
    <w:rsid w:val="00E97CAB"/>
    <w:rsid w:val="00EA15B6"/>
    <w:rsid w:val="00EA7907"/>
    <w:rsid w:val="00EB06BA"/>
    <w:rsid w:val="00EB1858"/>
    <w:rsid w:val="00EB4692"/>
    <w:rsid w:val="00EB5FB4"/>
    <w:rsid w:val="00EC1784"/>
    <w:rsid w:val="00EC182A"/>
    <w:rsid w:val="00EC49F4"/>
    <w:rsid w:val="00EC7DCE"/>
    <w:rsid w:val="00ED0150"/>
    <w:rsid w:val="00ED1219"/>
    <w:rsid w:val="00ED3B06"/>
    <w:rsid w:val="00ED7AA7"/>
    <w:rsid w:val="00ED7B28"/>
    <w:rsid w:val="00EE1328"/>
    <w:rsid w:val="00EF313D"/>
    <w:rsid w:val="00EF368B"/>
    <w:rsid w:val="00EF5CD1"/>
    <w:rsid w:val="00F009B5"/>
    <w:rsid w:val="00F00A29"/>
    <w:rsid w:val="00F01BF1"/>
    <w:rsid w:val="00F02012"/>
    <w:rsid w:val="00F04733"/>
    <w:rsid w:val="00F249BF"/>
    <w:rsid w:val="00F26FCB"/>
    <w:rsid w:val="00F30C0A"/>
    <w:rsid w:val="00F40A92"/>
    <w:rsid w:val="00F41B00"/>
    <w:rsid w:val="00F42B16"/>
    <w:rsid w:val="00F50F1A"/>
    <w:rsid w:val="00F56A70"/>
    <w:rsid w:val="00F66F4A"/>
    <w:rsid w:val="00F70B59"/>
    <w:rsid w:val="00F71D6D"/>
    <w:rsid w:val="00F75D78"/>
    <w:rsid w:val="00F770D4"/>
    <w:rsid w:val="00F80FD1"/>
    <w:rsid w:val="00F81279"/>
    <w:rsid w:val="00F8161F"/>
    <w:rsid w:val="00F83263"/>
    <w:rsid w:val="00F84314"/>
    <w:rsid w:val="00F8481C"/>
    <w:rsid w:val="00F86745"/>
    <w:rsid w:val="00F9063F"/>
    <w:rsid w:val="00F968A9"/>
    <w:rsid w:val="00F9691A"/>
    <w:rsid w:val="00F97E66"/>
    <w:rsid w:val="00FA0087"/>
    <w:rsid w:val="00FA1009"/>
    <w:rsid w:val="00FA11A8"/>
    <w:rsid w:val="00FA14C8"/>
    <w:rsid w:val="00FA26E4"/>
    <w:rsid w:val="00FA2F15"/>
    <w:rsid w:val="00FB10E8"/>
    <w:rsid w:val="00FB1969"/>
    <w:rsid w:val="00FB20B3"/>
    <w:rsid w:val="00FB21D4"/>
    <w:rsid w:val="00FB543C"/>
    <w:rsid w:val="00FC1BFD"/>
    <w:rsid w:val="00FC2354"/>
    <w:rsid w:val="00FC7949"/>
    <w:rsid w:val="00FD0681"/>
    <w:rsid w:val="00FD0B22"/>
    <w:rsid w:val="00FD2FE4"/>
    <w:rsid w:val="00FD6B39"/>
    <w:rsid w:val="00FE0C68"/>
    <w:rsid w:val="00FE457A"/>
    <w:rsid w:val="00FF2A9A"/>
    <w:rsid w:val="00FF5683"/>
    <w:rsid w:val="3A4408E4"/>
    <w:rsid w:val="5EEFAC09"/>
    <w:rsid w:val="779DEF8E"/>
    <w:rsid w:val="79F728E4"/>
    <w:rsid w:val="A9FFEE9B"/>
    <w:rsid w:val="DDFB47C9"/>
    <w:rsid w:val="F99DC767"/>
    <w:rsid w:val="FB77B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0" w:after="200" w:line="276" w:lineRule="auto"/>
    </w:pPr>
    <w:rPr>
      <w:rFonts w:ascii="Calibri" w:hAnsi="Calibri" w:eastAsia="Times New Roman" w:cs="Times New Roman"/>
      <w:lang w:val="en-US" w:eastAsia="en-US" w:bidi="en-US"/>
    </w:rPr>
  </w:style>
  <w:style w:type="paragraph" w:styleId="2">
    <w:name w:val="heading 1"/>
    <w:basedOn w:val="1"/>
    <w:next w:val="1"/>
    <w:link w:val="32"/>
    <w:qFormat/>
    <w:uiPriority w:val="9"/>
    <w:pPr>
      <w:pBdr>
        <w:top w:val="single" w:color="auto" w:sz="24" w:space="1"/>
        <w:bottom w:val="single" w:color="auto" w:sz="24" w:space="0"/>
      </w:pBdr>
      <w:shd w:val="clear" w:color="auto" w:fill="FFFFFF"/>
      <w:spacing w:after="0"/>
      <w:outlineLvl w:val="0"/>
    </w:pPr>
    <w:rPr>
      <w:b/>
      <w:bCs/>
      <w:caps/>
      <w:spacing w:val="15"/>
      <w:sz w:val="22"/>
      <w:szCs w:val="22"/>
    </w:rPr>
  </w:style>
  <w:style w:type="paragraph" w:styleId="3">
    <w:name w:val="heading 2"/>
    <w:basedOn w:val="1"/>
    <w:next w:val="1"/>
    <w:link w:val="33"/>
    <w:unhideWhenUsed/>
    <w:qFormat/>
    <w:uiPriority w:val="9"/>
    <w:pPr>
      <w:pBdr>
        <w:top w:val="single" w:color="DBE5F1" w:sz="24" w:space="0"/>
        <w:left w:val="single" w:color="DBE5F1" w:sz="24" w:space="0"/>
        <w:bottom w:val="single" w:color="DBE5F1" w:sz="24" w:space="0"/>
        <w:right w:val="single" w:color="DBE5F1" w:sz="24" w:space="0"/>
      </w:pBdr>
      <w:shd w:val="clear" w:color="auto" w:fill="DBE5F1"/>
      <w:spacing w:after="0"/>
      <w:outlineLvl w:val="1"/>
    </w:pPr>
    <w:rPr>
      <w:caps/>
      <w:spacing w:val="15"/>
      <w:lang w:val="zh-CN" w:eastAsia="zh-CN" w:bidi="ar-SA"/>
    </w:rPr>
  </w:style>
  <w:style w:type="paragraph" w:styleId="4">
    <w:name w:val="heading 3"/>
    <w:basedOn w:val="1"/>
    <w:next w:val="1"/>
    <w:link w:val="34"/>
    <w:semiHidden/>
    <w:unhideWhenUsed/>
    <w:qFormat/>
    <w:uiPriority w:val="9"/>
    <w:pPr>
      <w:pBdr>
        <w:top w:val="single" w:color="4F81BD" w:sz="6" w:space="2"/>
        <w:left w:val="single" w:color="4F81BD" w:sz="6" w:space="2"/>
      </w:pBdr>
      <w:spacing w:before="300" w:after="0"/>
      <w:outlineLvl w:val="2"/>
    </w:pPr>
    <w:rPr>
      <w:caps/>
      <w:color w:val="243F60"/>
      <w:spacing w:val="15"/>
      <w:lang w:val="zh-CN" w:eastAsia="zh-CN" w:bidi="ar-SA"/>
    </w:rPr>
  </w:style>
  <w:style w:type="paragraph" w:styleId="5">
    <w:name w:val="heading 4"/>
    <w:basedOn w:val="1"/>
    <w:next w:val="1"/>
    <w:link w:val="35"/>
    <w:semiHidden/>
    <w:unhideWhenUsed/>
    <w:qFormat/>
    <w:uiPriority w:val="9"/>
    <w:pPr>
      <w:pBdr>
        <w:top w:val="dotted" w:color="4F81BD" w:sz="6" w:space="2"/>
        <w:left w:val="dotted" w:color="4F81BD" w:sz="6" w:space="2"/>
      </w:pBdr>
      <w:spacing w:before="300" w:after="0"/>
      <w:outlineLvl w:val="3"/>
    </w:pPr>
    <w:rPr>
      <w:caps/>
      <w:color w:val="365F91"/>
      <w:spacing w:val="10"/>
      <w:lang w:val="zh-CN" w:eastAsia="zh-CN" w:bidi="ar-SA"/>
    </w:rPr>
  </w:style>
  <w:style w:type="paragraph" w:styleId="6">
    <w:name w:val="heading 5"/>
    <w:basedOn w:val="1"/>
    <w:next w:val="1"/>
    <w:link w:val="36"/>
    <w:semiHidden/>
    <w:unhideWhenUsed/>
    <w:qFormat/>
    <w:uiPriority w:val="9"/>
    <w:pPr>
      <w:pBdr>
        <w:bottom w:val="single" w:color="4F81BD" w:sz="6" w:space="1"/>
      </w:pBdr>
      <w:spacing w:before="300" w:after="0"/>
      <w:outlineLvl w:val="4"/>
    </w:pPr>
    <w:rPr>
      <w:caps/>
      <w:color w:val="365F91"/>
      <w:spacing w:val="10"/>
      <w:lang w:val="zh-CN" w:eastAsia="zh-CN" w:bidi="ar-SA"/>
    </w:rPr>
  </w:style>
  <w:style w:type="paragraph" w:styleId="7">
    <w:name w:val="heading 6"/>
    <w:basedOn w:val="1"/>
    <w:next w:val="1"/>
    <w:link w:val="37"/>
    <w:semiHidden/>
    <w:unhideWhenUsed/>
    <w:qFormat/>
    <w:uiPriority w:val="9"/>
    <w:pPr>
      <w:pBdr>
        <w:bottom w:val="dotted" w:color="4F81BD" w:sz="6" w:space="1"/>
      </w:pBdr>
      <w:spacing w:before="300" w:after="0"/>
      <w:outlineLvl w:val="5"/>
    </w:pPr>
    <w:rPr>
      <w:caps/>
      <w:color w:val="365F91"/>
      <w:spacing w:val="10"/>
      <w:lang w:val="zh-CN" w:eastAsia="zh-CN" w:bidi="ar-SA"/>
    </w:rPr>
  </w:style>
  <w:style w:type="paragraph" w:styleId="8">
    <w:name w:val="heading 7"/>
    <w:basedOn w:val="1"/>
    <w:next w:val="1"/>
    <w:link w:val="38"/>
    <w:semiHidden/>
    <w:unhideWhenUsed/>
    <w:qFormat/>
    <w:uiPriority w:val="9"/>
    <w:pPr>
      <w:spacing w:before="300" w:after="0"/>
      <w:outlineLvl w:val="6"/>
    </w:pPr>
    <w:rPr>
      <w:caps/>
      <w:color w:val="365F91"/>
      <w:spacing w:val="10"/>
      <w:lang w:val="zh-CN" w:eastAsia="zh-CN" w:bidi="ar-SA"/>
    </w:rPr>
  </w:style>
  <w:style w:type="paragraph" w:styleId="9">
    <w:name w:val="heading 8"/>
    <w:basedOn w:val="1"/>
    <w:next w:val="1"/>
    <w:link w:val="39"/>
    <w:semiHidden/>
    <w:unhideWhenUsed/>
    <w:qFormat/>
    <w:uiPriority w:val="9"/>
    <w:pPr>
      <w:spacing w:before="300" w:after="0"/>
      <w:outlineLvl w:val="7"/>
    </w:pPr>
    <w:rPr>
      <w:caps/>
      <w:spacing w:val="10"/>
      <w:sz w:val="18"/>
      <w:szCs w:val="18"/>
      <w:lang w:val="zh-CN" w:eastAsia="zh-CN" w:bidi="ar-SA"/>
    </w:rPr>
  </w:style>
  <w:style w:type="paragraph" w:styleId="10">
    <w:name w:val="heading 9"/>
    <w:basedOn w:val="1"/>
    <w:next w:val="1"/>
    <w:link w:val="40"/>
    <w:semiHidden/>
    <w:unhideWhenUsed/>
    <w:qFormat/>
    <w:uiPriority w:val="9"/>
    <w:pPr>
      <w:spacing w:before="300" w:after="0"/>
      <w:outlineLvl w:val="8"/>
    </w:pPr>
    <w:rPr>
      <w:i/>
      <w:caps/>
      <w:spacing w:val="10"/>
      <w:sz w:val="18"/>
      <w:szCs w:val="18"/>
      <w:lang w:val="zh-CN"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56"/>
    <w:unhideWhenUsed/>
    <w:qFormat/>
    <w:uiPriority w:val="0"/>
    <w:pPr>
      <w:spacing w:before="0" w:after="0" w:line="240" w:lineRule="auto"/>
      <w:jc w:val="both"/>
    </w:pPr>
    <w:rPr>
      <w:rFonts w:ascii="Times New Roman" w:hAnsi="Times New Roman"/>
      <w:sz w:val="24"/>
      <w:lang w:val="sl-SI" w:bidi="ar-SA"/>
    </w:rPr>
  </w:style>
  <w:style w:type="paragraph" w:styleId="15">
    <w:name w:val="caption"/>
    <w:basedOn w:val="1"/>
    <w:next w:val="1"/>
    <w:semiHidden/>
    <w:unhideWhenUsed/>
    <w:qFormat/>
    <w:uiPriority w:val="35"/>
    <w:rPr>
      <w:b/>
      <w:bCs/>
      <w:color w:val="365F91"/>
      <w:sz w:val="16"/>
      <w:szCs w:val="16"/>
    </w:rPr>
  </w:style>
  <w:style w:type="character" w:styleId="16">
    <w:name w:val="annotation reference"/>
    <w:semiHidden/>
    <w:qFormat/>
    <w:uiPriority w:val="0"/>
    <w:rPr>
      <w:sz w:val="16"/>
      <w:szCs w:val="16"/>
    </w:rPr>
  </w:style>
  <w:style w:type="paragraph" w:styleId="17">
    <w:name w:val="annotation text"/>
    <w:basedOn w:val="1"/>
    <w:semiHidden/>
    <w:qFormat/>
    <w:uiPriority w:val="0"/>
  </w:style>
  <w:style w:type="paragraph" w:styleId="18">
    <w:name w:val="annotation subject"/>
    <w:basedOn w:val="17"/>
    <w:next w:val="17"/>
    <w:semiHidden/>
    <w:qFormat/>
    <w:uiPriority w:val="0"/>
    <w:rPr>
      <w:b/>
      <w:bCs/>
    </w:rPr>
  </w:style>
  <w:style w:type="character" w:styleId="19">
    <w:name w:val="Emphasis"/>
    <w:qFormat/>
    <w:uiPriority w:val="20"/>
    <w:rPr>
      <w:caps/>
      <w:color w:val="243F60"/>
      <w:spacing w:val="5"/>
    </w:rPr>
  </w:style>
  <w:style w:type="paragraph" w:styleId="20">
    <w:name w:val="footer"/>
    <w:basedOn w:val="1"/>
    <w:link w:val="31"/>
    <w:qFormat/>
    <w:uiPriority w:val="99"/>
    <w:pPr>
      <w:tabs>
        <w:tab w:val="center" w:pos="4320"/>
        <w:tab w:val="right" w:pos="8640"/>
      </w:tabs>
    </w:pPr>
    <w:rPr>
      <w:sz w:val="22"/>
      <w:szCs w:val="24"/>
      <w:lang w:val="zh-CN" w:eastAsia="zh-CN" w:bidi="ar-SA"/>
    </w:rPr>
  </w:style>
  <w:style w:type="paragraph" w:styleId="21">
    <w:name w:val="header"/>
    <w:basedOn w:val="1"/>
    <w:qFormat/>
    <w:uiPriority w:val="0"/>
    <w:pPr>
      <w:tabs>
        <w:tab w:val="center" w:pos="4320"/>
        <w:tab w:val="right" w:pos="8640"/>
      </w:tabs>
    </w:pPr>
  </w:style>
  <w:style w:type="paragraph" w:styleId="22">
    <w:name w:val="HTML Preformatted"/>
    <w:basedOn w:val="1"/>
    <w:link w:val="5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styleId="23">
    <w:name w:val="Hyperlink"/>
    <w:unhideWhenUsed/>
    <w:qFormat/>
    <w:uiPriority w:val="0"/>
    <w:rPr>
      <w:color w:val="0000FF"/>
      <w:u w:val="single"/>
    </w:rPr>
  </w:style>
  <w:style w:type="character" w:styleId="24">
    <w:name w:val="page number"/>
    <w:basedOn w:val="11"/>
    <w:qFormat/>
    <w:uiPriority w:val="0"/>
  </w:style>
  <w:style w:type="character" w:styleId="25">
    <w:name w:val="Strong"/>
    <w:qFormat/>
    <w:uiPriority w:val="22"/>
    <w:rPr>
      <w:b/>
      <w:bCs/>
    </w:rPr>
  </w:style>
  <w:style w:type="paragraph" w:styleId="26">
    <w:name w:val="Subtitle"/>
    <w:basedOn w:val="1"/>
    <w:next w:val="1"/>
    <w:link w:val="42"/>
    <w:qFormat/>
    <w:uiPriority w:val="11"/>
    <w:pPr>
      <w:spacing w:after="1000" w:line="240" w:lineRule="auto"/>
    </w:pPr>
    <w:rPr>
      <w:caps/>
      <w:color w:val="595959"/>
      <w:spacing w:val="10"/>
      <w:sz w:val="24"/>
      <w:szCs w:val="24"/>
      <w:lang w:val="zh-CN" w:eastAsia="zh-CN" w:bidi="ar-SA"/>
    </w:rPr>
  </w:style>
  <w:style w:type="table" w:styleId="27">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Title"/>
    <w:basedOn w:val="1"/>
    <w:next w:val="1"/>
    <w:link w:val="41"/>
    <w:qFormat/>
    <w:uiPriority w:val="10"/>
    <w:pPr>
      <w:spacing w:before="720"/>
    </w:pPr>
    <w:rPr>
      <w:caps/>
      <w:color w:val="4F81BD"/>
      <w:spacing w:val="10"/>
      <w:kern w:val="28"/>
      <w:sz w:val="52"/>
      <w:szCs w:val="52"/>
      <w:lang w:val="zh-CN" w:eastAsia="zh-CN" w:bidi="ar-SA"/>
    </w:rPr>
  </w:style>
  <w:style w:type="paragraph" w:customStyle="1" w:styleId="29">
    <w:name w:val="Style Heading 1 + Centered"/>
    <w:basedOn w:val="2"/>
    <w:qFormat/>
    <w:uiPriority w:val="0"/>
    <w:pPr>
      <w:jc w:val="center"/>
    </w:pPr>
    <w:rPr>
      <w:sz w:val="28"/>
      <w:szCs w:val="20"/>
    </w:rPr>
  </w:style>
  <w:style w:type="paragraph" w:customStyle="1" w:styleId="30">
    <w:name w:val="Style Style Heading 1 + Centered + Left Left:  0 mm Hanging:  23 ..."/>
    <w:basedOn w:val="29"/>
    <w:next w:val="1"/>
    <w:qFormat/>
    <w:uiPriority w:val="0"/>
    <w:pPr>
      <w:spacing w:before="480" w:after="480"/>
      <w:ind w:left="1304" w:hanging="1304"/>
      <w:jc w:val="left"/>
    </w:pPr>
  </w:style>
  <w:style w:type="character" w:customStyle="1" w:styleId="31">
    <w:name w:val="Footer Char"/>
    <w:link w:val="20"/>
    <w:qFormat/>
    <w:uiPriority w:val="99"/>
    <w:rPr>
      <w:sz w:val="22"/>
      <w:szCs w:val="24"/>
    </w:rPr>
  </w:style>
  <w:style w:type="character" w:customStyle="1" w:styleId="32">
    <w:name w:val="Heading 1 Char"/>
    <w:link w:val="2"/>
    <w:qFormat/>
    <w:uiPriority w:val="9"/>
    <w:rPr>
      <w:b/>
      <w:bCs/>
      <w:caps/>
      <w:spacing w:val="15"/>
      <w:sz w:val="22"/>
      <w:szCs w:val="22"/>
      <w:shd w:val="clear" w:color="auto" w:fill="FFFFFF"/>
      <w:lang w:val="en-US" w:eastAsia="en-US" w:bidi="en-US"/>
    </w:rPr>
  </w:style>
  <w:style w:type="character" w:customStyle="1" w:styleId="33">
    <w:name w:val="Heading 2 Char"/>
    <w:link w:val="3"/>
    <w:qFormat/>
    <w:uiPriority w:val="9"/>
    <w:rPr>
      <w:caps/>
      <w:spacing w:val="15"/>
      <w:shd w:val="clear" w:color="auto" w:fill="DBE5F1"/>
    </w:rPr>
  </w:style>
  <w:style w:type="character" w:customStyle="1" w:styleId="34">
    <w:name w:val="Heading 3 Char"/>
    <w:link w:val="4"/>
    <w:semiHidden/>
    <w:qFormat/>
    <w:uiPriority w:val="9"/>
    <w:rPr>
      <w:caps/>
      <w:color w:val="243F60"/>
      <w:spacing w:val="15"/>
    </w:rPr>
  </w:style>
  <w:style w:type="character" w:customStyle="1" w:styleId="35">
    <w:name w:val="Heading 4 Char"/>
    <w:link w:val="5"/>
    <w:semiHidden/>
    <w:qFormat/>
    <w:uiPriority w:val="9"/>
    <w:rPr>
      <w:caps/>
      <w:color w:val="365F91"/>
      <w:spacing w:val="10"/>
    </w:rPr>
  </w:style>
  <w:style w:type="character" w:customStyle="1" w:styleId="36">
    <w:name w:val="Heading 5 Char"/>
    <w:link w:val="6"/>
    <w:semiHidden/>
    <w:qFormat/>
    <w:uiPriority w:val="9"/>
    <w:rPr>
      <w:caps/>
      <w:color w:val="365F91"/>
      <w:spacing w:val="10"/>
    </w:rPr>
  </w:style>
  <w:style w:type="character" w:customStyle="1" w:styleId="37">
    <w:name w:val="Heading 6 Char"/>
    <w:link w:val="7"/>
    <w:semiHidden/>
    <w:qFormat/>
    <w:uiPriority w:val="9"/>
    <w:rPr>
      <w:caps/>
      <w:color w:val="365F91"/>
      <w:spacing w:val="10"/>
    </w:rPr>
  </w:style>
  <w:style w:type="character" w:customStyle="1" w:styleId="38">
    <w:name w:val="Heading 7 Char"/>
    <w:link w:val="8"/>
    <w:semiHidden/>
    <w:qFormat/>
    <w:uiPriority w:val="9"/>
    <w:rPr>
      <w:caps/>
      <w:color w:val="365F91"/>
      <w:spacing w:val="10"/>
    </w:rPr>
  </w:style>
  <w:style w:type="character" w:customStyle="1" w:styleId="39">
    <w:name w:val="Heading 8 Char"/>
    <w:link w:val="9"/>
    <w:semiHidden/>
    <w:qFormat/>
    <w:uiPriority w:val="9"/>
    <w:rPr>
      <w:caps/>
      <w:spacing w:val="10"/>
      <w:sz w:val="18"/>
      <w:szCs w:val="18"/>
    </w:rPr>
  </w:style>
  <w:style w:type="character" w:customStyle="1" w:styleId="40">
    <w:name w:val="Heading 9 Char"/>
    <w:link w:val="10"/>
    <w:semiHidden/>
    <w:qFormat/>
    <w:uiPriority w:val="9"/>
    <w:rPr>
      <w:i/>
      <w:caps/>
      <w:spacing w:val="10"/>
      <w:sz w:val="18"/>
      <w:szCs w:val="18"/>
    </w:rPr>
  </w:style>
  <w:style w:type="character" w:customStyle="1" w:styleId="41">
    <w:name w:val="Title Char"/>
    <w:link w:val="28"/>
    <w:qFormat/>
    <w:uiPriority w:val="10"/>
    <w:rPr>
      <w:caps/>
      <w:color w:val="4F81BD"/>
      <w:spacing w:val="10"/>
      <w:kern w:val="28"/>
      <w:sz w:val="52"/>
      <w:szCs w:val="52"/>
    </w:rPr>
  </w:style>
  <w:style w:type="character" w:customStyle="1" w:styleId="42">
    <w:name w:val="Subtitle Char"/>
    <w:link w:val="26"/>
    <w:qFormat/>
    <w:uiPriority w:val="11"/>
    <w:rPr>
      <w:caps/>
      <w:color w:val="595959"/>
      <w:spacing w:val="10"/>
      <w:sz w:val="24"/>
      <w:szCs w:val="24"/>
    </w:rPr>
  </w:style>
  <w:style w:type="paragraph" w:styleId="43">
    <w:name w:val="No Spacing"/>
    <w:basedOn w:val="1"/>
    <w:link w:val="44"/>
    <w:qFormat/>
    <w:uiPriority w:val="1"/>
    <w:pPr>
      <w:spacing w:before="0" w:after="0" w:line="240" w:lineRule="auto"/>
    </w:pPr>
    <w:rPr>
      <w:lang w:val="zh-CN" w:eastAsia="zh-CN" w:bidi="ar-SA"/>
    </w:rPr>
  </w:style>
  <w:style w:type="character" w:customStyle="1" w:styleId="44">
    <w:name w:val="No Spacing Char"/>
    <w:link w:val="43"/>
    <w:qFormat/>
    <w:uiPriority w:val="1"/>
    <w:rPr>
      <w:sz w:val="20"/>
      <w:szCs w:val="20"/>
    </w:rPr>
  </w:style>
  <w:style w:type="paragraph" w:styleId="45">
    <w:name w:val="List Paragraph"/>
    <w:basedOn w:val="1"/>
    <w:qFormat/>
    <w:uiPriority w:val="34"/>
    <w:pPr>
      <w:ind w:left="720"/>
      <w:contextualSpacing/>
    </w:pPr>
  </w:style>
  <w:style w:type="paragraph" w:styleId="46">
    <w:name w:val="Quote"/>
    <w:basedOn w:val="1"/>
    <w:next w:val="1"/>
    <w:link w:val="47"/>
    <w:qFormat/>
    <w:uiPriority w:val="29"/>
    <w:rPr>
      <w:i/>
      <w:iCs/>
      <w:lang w:val="zh-CN" w:eastAsia="zh-CN" w:bidi="ar-SA"/>
    </w:rPr>
  </w:style>
  <w:style w:type="character" w:customStyle="1" w:styleId="47">
    <w:name w:val="Quote Char"/>
    <w:link w:val="46"/>
    <w:qFormat/>
    <w:uiPriority w:val="29"/>
    <w:rPr>
      <w:i/>
      <w:iCs/>
      <w:sz w:val="20"/>
      <w:szCs w:val="20"/>
    </w:rPr>
  </w:style>
  <w:style w:type="paragraph" w:styleId="48">
    <w:name w:val="Intense Quote"/>
    <w:basedOn w:val="1"/>
    <w:next w:val="1"/>
    <w:link w:val="49"/>
    <w:qFormat/>
    <w:uiPriority w:val="30"/>
    <w:pPr>
      <w:pBdr>
        <w:top w:val="single" w:color="4F81BD" w:sz="4" w:space="10"/>
        <w:left w:val="single" w:color="4F81BD" w:sz="4" w:space="10"/>
      </w:pBdr>
      <w:spacing w:after="0"/>
      <w:ind w:left="1296" w:right="1152"/>
      <w:jc w:val="both"/>
    </w:pPr>
    <w:rPr>
      <w:i/>
      <w:iCs/>
      <w:color w:val="4F81BD"/>
      <w:lang w:val="zh-CN" w:eastAsia="zh-CN" w:bidi="ar-SA"/>
    </w:rPr>
  </w:style>
  <w:style w:type="character" w:customStyle="1" w:styleId="49">
    <w:name w:val="Intense Quote Char"/>
    <w:link w:val="48"/>
    <w:qFormat/>
    <w:uiPriority w:val="30"/>
    <w:rPr>
      <w:i/>
      <w:iCs/>
      <w:color w:val="4F81BD"/>
      <w:sz w:val="20"/>
      <w:szCs w:val="20"/>
    </w:rPr>
  </w:style>
  <w:style w:type="character" w:customStyle="1" w:styleId="50">
    <w:name w:val="Subtle Emphasis1"/>
    <w:qFormat/>
    <w:uiPriority w:val="19"/>
    <w:rPr>
      <w:i/>
      <w:iCs/>
      <w:color w:val="243F60"/>
    </w:rPr>
  </w:style>
  <w:style w:type="character" w:customStyle="1" w:styleId="51">
    <w:name w:val="Intense Emphasis1"/>
    <w:qFormat/>
    <w:uiPriority w:val="21"/>
    <w:rPr>
      <w:b/>
      <w:bCs/>
      <w:caps/>
      <w:color w:val="243F60"/>
      <w:spacing w:val="10"/>
    </w:rPr>
  </w:style>
  <w:style w:type="character" w:customStyle="1" w:styleId="52">
    <w:name w:val="Subtle Reference1"/>
    <w:qFormat/>
    <w:uiPriority w:val="31"/>
    <w:rPr>
      <w:b/>
      <w:bCs/>
      <w:color w:val="4F81BD"/>
    </w:rPr>
  </w:style>
  <w:style w:type="character" w:customStyle="1" w:styleId="53">
    <w:name w:val="Intense Reference1"/>
    <w:qFormat/>
    <w:uiPriority w:val="32"/>
    <w:rPr>
      <w:b/>
      <w:bCs/>
      <w:i/>
      <w:iCs/>
      <w:caps/>
      <w:color w:val="4F81BD"/>
    </w:rPr>
  </w:style>
  <w:style w:type="character" w:customStyle="1" w:styleId="54">
    <w:name w:val="Book Title1"/>
    <w:qFormat/>
    <w:uiPriority w:val="33"/>
    <w:rPr>
      <w:b/>
      <w:bCs/>
      <w:i/>
      <w:iCs/>
      <w:spacing w:val="9"/>
    </w:rPr>
  </w:style>
  <w:style w:type="paragraph" w:customStyle="1" w:styleId="55">
    <w:name w:val="TOC Heading1"/>
    <w:basedOn w:val="2"/>
    <w:next w:val="1"/>
    <w:semiHidden/>
    <w:unhideWhenUsed/>
    <w:qFormat/>
    <w:uiPriority w:val="39"/>
    <w:pPr>
      <w:outlineLvl w:val="9"/>
    </w:pPr>
  </w:style>
  <w:style w:type="character" w:customStyle="1" w:styleId="56">
    <w:name w:val="Body Text Char"/>
    <w:link w:val="14"/>
    <w:qFormat/>
    <w:uiPriority w:val="0"/>
    <w:rPr>
      <w:rFonts w:ascii="Times New Roman" w:hAnsi="Times New Roman"/>
      <w:sz w:val="24"/>
      <w:lang w:val="sl-SI"/>
    </w:rPr>
  </w:style>
  <w:style w:type="character" w:customStyle="1" w:styleId="57">
    <w:name w:val="Unresolved Mention1"/>
    <w:basedOn w:val="11"/>
    <w:semiHidden/>
    <w:unhideWhenUsed/>
    <w:qFormat/>
    <w:uiPriority w:val="99"/>
    <w:rPr>
      <w:color w:val="605E5C"/>
      <w:shd w:val="clear" w:color="auto" w:fill="E1DFDD"/>
    </w:rPr>
  </w:style>
  <w:style w:type="character" w:customStyle="1" w:styleId="58">
    <w:name w:val="HTML Preformatted Char"/>
    <w:basedOn w:val="11"/>
    <w:link w:val="22"/>
    <w:semiHidden/>
    <w:qFormat/>
    <w:uiPriority w:val="99"/>
    <w:rPr>
      <w:rFonts w:ascii="Courier New" w:hAnsi="Courier New" w:cs="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2233</Words>
  <Characters>12733</Characters>
  <Lines>106</Lines>
  <Paragraphs>29</Paragraphs>
  <TotalTime>12</TotalTime>
  <ScaleCrop>false</ScaleCrop>
  <LinksUpToDate>false</LinksUpToDate>
  <CharactersWithSpaces>14937</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2025-07-23T17:55:00Z</dcterms:created>
  <dc:creator>Vera</dc:creator>
  <cp:lastModifiedBy>referada</cp:lastModifiedBy>
  <cp:lastPrinted>2026-07-20T10:17:55Z</cp:lastPrinted>
  <dcterms:modified xsi:type="dcterms:W3CDTF">2026-07-20T10:17:57Z</dcterms:modified>
  <dc:title>VISOKA TEHNIČKA ŠKOLA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