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bCs w:val="0"/>
          <w:sz w:val="32"/>
          <w:szCs w:val="32"/>
          <w:lang w:val="sr-Latn-CS"/>
        </w:rPr>
      </w:pPr>
      <w:r>
        <w:rPr>
          <w:bCs w:val="0"/>
          <w:sz w:val="32"/>
          <w:szCs w:val="32"/>
          <w:lang w:val="sr-Latn-CS"/>
        </w:rPr>
        <w:t>USLOVI UPISA</w:t>
      </w:r>
      <w:r>
        <w:rPr>
          <w:bCs w:val="0"/>
          <w:lang w:val="sr-Latn-CS"/>
        </w:rPr>
        <w:fldChar w:fldCharType="begin"/>
      </w:r>
      <w:r>
        <w:rPr>
          <w:bCs w:val="0"/>
          <w:lang w:val="sr-Latn-CS"/>
        </w:rPr>
        <w:instrText xml:space="preserve"> FILLIN  "Naslov - Cím (obavezno popuniti - kitöltése kötelező)"  \* MERGEFORMAT </w:instrText>
      </w:r>
      <w:r>
        <w:rPr>
          <w:bCs w:val="0"/>
          <w:lang w:val="sr-Latn-CS"/>
        </w:rPr>
        <w:fldChar w:fldCharType="end"/>
      </w:r>
    </w:p>
    <w:p>
      <w:pPr>
        <w:pStyle w:val="3"/>
        <w:rPr>
          <w:rFonts w:hint="default"/>
          <w:b/>
          <w:bCs/>
          <w:sz w:val="22"/>
          <w:szCs w:val="22"/>
          <w:lang w:val="en-US"/>
        </w:rPr>
      </w:pPr>
      <w:r>
        <w:rPr>
          <w:b/>
          <w:bCs/>
          <w:lang w:val="sr-Latn-CS"/>
        </w:rPr>
        <w:t>Studenti prve godine koji su u PRETHODNOJ školskoj godini ostvarili od 0 do 36 ESPB-ECTS</w:t>
      </w:r>
      <w:r>
        <w:rPr>
          <w:rFonts w:hint="default"/>
          <w:b/>
          <w:bCs/>
          <w:lang w:val="en-US"/>
        </w:rPr>
        <w:t xml:space="preserve"> </w:t>
      </w:r>
    </w:p>
    <w:p>
      <w:pPr>
        <w:jc w:val="both"/>
        <w:rPr>
          <w:lang w:val="sr-Latn-CS"/>
        </w:rPr>
      </w:pPr>
      <w:r>
        <w:rPr>
          <w:lang w:val="sr-Latn-CS"/>
        </w:rPr>
        <w:t>Studenti prve godine koji su ostvarili od 0 do 36 ESPB-ECTS, ponovo upisuju one predmete prve godine koje nisu položili (ne mogu se upisati na drugu godinu) i prelaze ili ostaju u statusu samofinansirajućih studenata.</w:t>
      </w:r>
    </w:p>
    <w:p>
      <w:pPr>
        <w:jc w:val="both"/>
        <w:rPr>
          <w:lang w:val="sr-Latn-CS"/>
        </w:rPr>
      </w:pPr>
      <w:r>
        <w:rPr>
          <w:lang w:val="sr-Latn-CS"/>
        </w:rPr>
        <w:t>Nepoloženi obavezni predmeti obavezno se upisuju</w:t>
      </w:r>
      <w:r>
        <w:rPr>
          <w:lang w:val="en"/>
        </w:rPr>
        <w:t>,</w:t>
      </w:r>
      <w:r>
        <w:rPr>
          <w:lang w:val="sr-Latn-CS"/>
        </w:rPr>
        <w:t xml:space="preserve"> da zbir ESPB-ECTS predmeta prve godine bude minimalno 60.</w:t>
      </w:r>
    </w:p>
    <w:p>
      <w:pPr>
        <w:jc w:val="both"/>
        <w:rPr>
          <w:lang w:val="en"/>
        </w:rPr>
      </w:pPr>
      <w:r>
        <w:rPr>
          <w:lang w:val="sr-Latn-CS"/>
        </w:rPr>
        <w:t>Svi upisani predmeti, ponovo se slušaju u celosti</w:t>
      </w:r>
      <w:r>
        <w:rPr>
          <w:lang w:val="en"/>
        </w:rPr>
        <w:t>.</w:t>
      </w:r>
    </w:p>
    <w:p>
      <w:pPr>
        <w:rPr>
          <w:b/>
          <w:lang w:val="sr-Latn-CS"/>
        </w:rPr>
      </w:pPr>
      <w:r>
        <w:rPr>
          <w:b/>
          <w:lang w:val="sr-Latn-CS"/>
        </w:rPr>
        <w:t>Troškovi upisa su sledeći:</w:t>
      </w:r>
    </w:p>
    <w:p>
      <w:pPr>
        <w:numPr>
          <w:ilvl w:val="0"/>
          <w:numId w:val="1"/>
        </w:numPr>
        <w:spacing w:before="0" w:after="0"/>
        <w:rPr>
          <w:lang w:val="sr-Latn-CS"/>
        </w:rPr>
      </w:pPr>
      <w:r>
        <w:rPr>
          <w:lang w:val="sr-Latn-CS"/>
        </w:rPr>
        <w:t>1</w:t>
      </w:r>
      <w:r>
        <w:rPr>
          <w:rFonts w:hint="default"/>
          <w:lang w:val="en-US"/>
        </w:rPr>
        <w:t>1</w:t>
      </w:r>
      <w:r>
        <w:rPr>
          <w:lang w:val="sr-Latn-CS"/>
        </w:rPr>
        <w:t>.</w:t>
      </w:r>
      <w:r>
        <w:rPr>
          <w:rFonts w:hint="default"/>
          <w:lang w:val="en-US"/>
        </w:rPr>
        <w:t>0</w:t>
      </w:r>
      <w:r>
        <w:rPr>
          <w:lang w:val="sr-Latn-CS"/>
        </w:rPr>
        <w:t>00.00 dinara na ime troškova upisa,</w:t>
      </w:r>
    </w:p>
    <w:p>
      <w:pPr>
        <w:numPr>
          <w:ilvl w:val="0"/>
          <w:numId w:val="1"/>
        </w:numPr>
        <w:spacing w:before="0" w:after="0"/>
        <w:rPr>
          <w:lang w:val="sr-Latn-CS"/>
        </w:rPr>
      </w:pPr>
      <w:r>
        <w:rPr>
          <w:lang w:val="sr-Latn-CS"/>
        </w:rPr>
        <w:t>Troškovi školarine</w:t>
      </w:r>
      <w:r>
        <w:rPr>
          <w:lang w:val="sr-Latn-CS"/>
        </w:rPr>
        <w:br w:type="textWrapping"/>
      </w:r>
      <w:r>
        <w:rPr>
          <w:lang w:val="sr-Latn-CS"/>
        </w:rPr>
        <w:t>Student uplaćuje onoliko ESPB-ECTS koliko je ponovo upisao</w:t>
      </w:r>
    </w:p>
    <w:p>
      <w:pPr>
        <w:numPr>
          <w:ilvl w:val="1"/>
          <w:numId w:val="1"/>
        </w:numPr>
        <w:spacing w:before="0" w:after="0"/>
        <w:rPr>
          <w:lang w:val="sr-Latn-CS"/>
        </w:rPr>
      </w:pPr>
      <w:r>
        <w:rPr>
          <w:lang w:val="sr-Latn-CS"/>
        </w:rPr>
        <w:t>primer za uplatu u celosti: ako je student tokom godine ostvario 27 ESPB-ECTS, tada mu do 60 ESPB-ECTS nedostaje 60-27=33 ESPB-ECTS, odnosno plaća 33*</w:t>
      </w:r>
      <w:r>
        <w:rPr>
          <w:rFonts w:hint="default"/>
          <w:lang w:val="en-US"/>
        </w:rPr>
        <w:t>1.625</w:t>
      </w:r>
      <w:r>
        <w:rPr>
          <w:lang w:val="sr-Latn-CS"/>
        </w:rPr>
        <w:t>.00=</w:t>
      </w:r>
      <w:r>
        <w:rPr>
          <w:lang w:val="en"/>
        </w:rPr>
        <w:t>5</w:t>
      </w:r>
      <w:r>
        <w:rPr>
          <w:rFonts w:hint="default"/>
          <w:lang w:val="en-US"/>
        </w:rPr>
        <w:t>3.625</w:t>
      </w:r>
      <w:r>
        <w:rPr>
          <w:lang w:val="en"/>
        </w:rPr>
        <w:t>,</w:t>
      </w:r>
      <w:r>
        <w:rPr>
          <w:lang w:val="sr-Latn-CS"/>
        </w:rPr>
        <w:t>00 dinara (uplata u celosti prilikom upisa školske godine)</w:t>
      </w:r>
    </w:p>
    <w:p>
      <w:pPr>
        <w:numPr>
          <w:ilvl w:val="1"/>
          <w:numId w:val="1"/>
        </w:numPr>
        <w:spacing w:before="0" w:after="0"/>
        <w:rPr>
          <w:lang w:val="sr-Latn-CS"/>
        </w:rPr>
      </w:pPr>
      <w:r>
        <w:rPr>
          <w:lang w:val="sr-Latn-CS"/>
        </w:rPr>
        <w:t>primer za uplatu u dve rate: ako je student tokom godine ostvario 27 ESPB-ECTS, tada mu do 60 ESPB-ECTS nedostaje 60-27=33 ESPB-ECTS, odnosno plaća 33*</w:t>
      </w:r>
      <w:r>
        <w:rPr>
          <w:lang w:val="en"/>
        </w:rPr>
        <w:t>1.</w:t>
      </w:r>
      <w:r>
        <w:rPr>
          <w:rFonts w:hint="default"/>
          <w:lang w:val="en-US"/>
        </w:rPr>
        <w:t>905</w:t>
      </w:r>
      <w:r>
        <w:rPr>
          <w:lang w:val="en"/>
        </w:rPr>
        <w:t>,</w:t>
      </w:r>
      <w:r>
        <w:rPr>
          <w:lang w:val="sr-Latn-CS"/>
        </w:rPr>
        <w:t>00=</w:t>
      </w:r>
      <w:r>
        <w:rPr>
          <w:lang w:val="en"/>
        </w:rPr>
        <w:t>6</w:t>
      </w:r>
      <w:r>
        <w:rPr>
          <w:rFonts w:hint="default"/>
          <w:lang w:val="en-US"/>
        </w:rPr>
        <w:t>2.865</w:t>
      </w:r>
      <w:r>
        <w:rPr>
          <w:lang w:val="en"/>
        </w:rPr>
        <w:t>,</w:t>
      </w:r>
      <w:r>
        <w:rPr>
          <w:lang w:val="sr-Latn-CS"/>
        </w:rPr>
        <w:t>00 dinara (uplata 50% iznosa prilikom upisa školske godine, odnosno uplata 50% iznosa prilikom evidencije zimskog semestra)</w:t>
      </w:r>
    </w:p>
    <w:p>
      <w:pPr>
        <w:keepNext w:val="0"/>
        <w:keepLines w:val="0"/>
        <w:widowControl/>
        <w:suppressLineNumbers w:val="0"/>
        <w:jc w:val="left"/>
        <w:rPr>
          <w:b/>
          <w:bCs/>
          <w:lang w:val="sr-Latn-CS"/>
        </w:rPr>
      </w:pPr>
      <w:r>
        <w:rPr>
          <w:lang w:val="sr-Latn-CS"/>
        </w:rPr>
        <w:t xml:space="preserve">što se zajedno uplaćuje na žiro račun broj: </w:t>
      </w:r>
      <w:r>
        <w:rPr>
          <w:rFonts w:hint="default" w:ascii="Times New Roman" w:hAnsi="Times New Roman" w:eastAsia="Times New Roman" w:cs="Times New Roman"/>
          <w:b/>
          <w:bCs/>
          <w:lang w:val="en-US" w:eastAsia="zh-CN" w:bidi="en-US"/>
        </w:rPr>
        <w:t>840-</w:t>
      </w:r>
      <w:bookmarkStart w:id="0" w:name="_GoBack"/>
      <w:bookmarkEnd w:id="0"/>
      <w:r>
        <w:rPr>
          <w:rFonts w:hint="default" w:ascii="Times New Roman" w:hAnsi="Times New Roman" w:eastAsia="Times New Roman" w:cs="Times New Roman"/>
          <w:b/>
          <w:bCs/>
          <w:lang w:val="en-US" w:eastAsia="zh-CN" w:bidi="en-US"/>
        </w:rPr>
        <w:t>32811845-96</w:t>
      </w:r>
      <w:r>
        <w:rPr>
          <w:rFonts w:hint="default" w:ascii="Times New Roman" w:hAnsi="Times New Roman" w:eastAsia="Times New Roman" w:cs="Times New Roman"/>
          <w:lang w:val="sr-Latn-CS" w:eastAsia="en-US" w:bidi="en-US"/>
        </w:rPr>
        <w:t>,</w:t>
      </w:r>
      <w:r>
        <w:rPr>
          <w:rFonts w:ascii="Calibri" w:hAnsi="Calibri" w:eastAsia="Times New Roman" w:cs="Times New Roman"/>
          <w:lang w:val="sr-Latn-CS" w:eastAsia="en-US" w:bidi="en-US"/>
        </w:rPr>
        <w:t xml:space="preserve"> </w:t>
      </w:r>
      <w:r>
        <w:rPr>
          <w:lang w:val="sr-Latn-CS"/>
        </w:rPr>
        <w:t>po uputstvu iz EREF-a za „Troškovi upisnine i školarine“.</w:t>
      </w:r>
    </w:p>
    <w:p>
      <w:pPr>
        <w:spacing w:before="0" w:after="0" w:line="240" w:lineRule="auto"/>
        <w:ind w:firstLine="720"/>
        <w:rPr>
          <w:lang w:val="sr-Latn-CS"/>
        </w:rPr>
      </w:pPr>
      <w:r>
        <w:rPr>
          <w:b/>
          <w:bCs/>
          <w:lang w:val="sr-Latn-CS"/>
        </w:rPr>
        <w:br w:type="page"/>
      </w:r>
    </w:p>
    <w:p>
      <w:pPr>
        <w:pStyle w:val="3"/>
        <w:rPr>
          <w:b/>
          <w:bCs/>
          <w:lang w:val="sr-Latn-CS"/>
        </w:rPr>
      </w:pPr>
      <w:r>
        <w:rPr>
          <w:b/>
          <w:bCs/>
          <w:lang w:val="sr-Latn-CS"/>
        </w:rPr>
        <w:t>Studenti prve godine koji su u PRETHODNOJ školskoj godini ostvarili od 37 do 47 ESPB-ECTS</w:t>
      </w:r>
    </w:p>
    <w:p>
      <w:pPr>
        <w:jc w:val="both"/>
        <w:rPr>
          <w:lang w:val="sr-Latn-CS"/>
        </w:rPr>
      </w:pPr>
      <w:r>
        <w:rPr>
          <w:lang w:val="sr-Latn-CS"/>
        </w:rPr>
        <w:t xml:space="preserve">Studenti prve godine koji su ostvarili od 37 do 47 ESPB-ECTS, prelaze ili ostaju u statusu samofinansirajućih studenata. Studenti ponovo upisuju one predmete prve godine koje nisu položili, te onoliko predmeta sa druge godine, da zbir upisanih ESPB-ECTS bude minimalno 60 (na primer, ako je student tokom godine ostvario 39 ESPB-ECTS tada sa prve godine upisuje 60-39=21 ESPB-ECTS, a sa druge godine 60-21=39 ESPB-ECTS). </w:t>
      </w:r>
    </w:p>
    <w:p>
      <w:pPr>
        <w:jc w:val="both"/>
        <w:rPr>
          <w:lang w:val="sr-Latn-CS"/>
        </w:rPr>
      </w:pPr>
      <w:r>
        <w:rPr>
          <w:lang w:val="sr-Latn-CS"/>
        </w:rPr>
        <w:t>Nepoloženi obavezni predmeti prve godine obavezno se upisuju</w:t>
      </w:r>
      <w:r>
        <w:rPr>
          <w:lang w:val="en"/>
        </w:rPr>
        <w:t>,</w:t>
      </w:r>
      <w:r>
        <w:rPr>
          <w:lang w:val="sr-Latn-CS"/>
        </w:rPr>
        <w:t xml:space="preserve"> da zbir ESPB-ECTS predmeta bude minimalno 60.</w:t>
      </w:r>
    </w:p>
    <w:p>
      <w:pPr>
        <w:jc w:val="both"/>
        <w:rPr>
          <w:lang w:val="sr-Latn-CS"/>
        </w:rPr>
      </w:pPr>
      <w:r>
        <w:rPr>
          <w:lang w:val="sr-Latn-CS"/>
        </w:rPr>
        <w:t>Sa druge godine, student prvenstveno upisuje obavezne predmete.</w:t>
      </w:r>
    </w:p>
    <w:p>
      <w:pPr>
        <w:jc w:val="both"/>
        <w:rPr>
          <w:lang w:val="sr-Latn-CS"/>
        </w:rPr>
      </w:pPr>
      <w:r>
        <w:rPr>
          <w:lang w:val="sr-Latn-CS"/>
        </w:rPr>
        <w:t>Svi upisani predmeti, ponovo se slušaju u celosti, a u slučaju preklapanja u rasporedu, obaveze se odrađuju u dogovoru sa predmetnim nastavnikom.</w:t>
      </w:r>
    </w:p>
    <w:p>
      <w:pPr>
        <w:rPr>
          <w:b/>
          <w:lang w:val="sr-Latn-CS"/>
        </w:rPr>
      </w:pPr>
      <w:r>
        <w:rPr>
          <w:b/>
          <w:lang w:val="sr-Latn-CS"/>
        </w:rPr>
        <w:t>Troškovi upisa su sledeći:</w:t>
      </w:r>
    </w:p>
    <w:p>
      <w:pPr>
        <w:numPr>
          <w:ilvl w:val="0"/>
          <w:numId w:val="2"/>
        </w:numPr>
        <w:spacing w:before="0" w:after="0"/>
        <w:rPr>
          <w:lang w:val="sr-Latn-CS"/>
        </w:rPr>
      </w:pPr>
      <w:r>
        <w:rPr>
          <w:lang w:val="sr-Latn-CS"/>
        </w:rPr>
        <w:t>1</w:t>
      </w:r>
      <w:r>
        <w:rPr>
          <w:rFonts w:hint="default"/>
          <w:lang w:val="en-US"/>
        </w:rPr>
        <w:t>1</w:t>
      </w:r>
      <w:r>
        <w:rPr>
          <w:lang w:val="sr-Latn-CS"/>
        </w:rPr>
        <w:t>.</w:t>
      </w:r>
      <w:r>
        <w:rPr>
          <w:rFonts w:hint="default"/>
          <w:lang w:val="en-US"/>
        </w:rPr>
        <w:t>0</w:t>
      </w:r>
      <w:r>
        <w:rPr>
          <w:lang w:val="sr-Latn-CS"/>
        </w:rPr>
        <w:t>00.00 dinara na ime troškova upisa,</w:t>
      </w:r>
    </w:p>
    <w:p>
      <w:pPr>
        <w:numPr>
          <w:ilvl w:val="0"/>
          <w:numId w:val="2"/>
        </w:numPr>
        <w:spacing w:before="0" w:after="0"/>
        <w:rPr>
          <w:lang w:val="sr-Latn-CS"/>
        </w:rPr>
      </w:pPr>
      <w:r>
        <w:rPr>
          <w:lang w:val="sr-Latn-CS"/>
        </w:rPr>
        <w:t>Troškovi školarine</w:t>
      </w:r>
    </w:p>
    <w:p>
      <w:pPr>
        <w:numPr>
          <w:ilvl w:val="1"/>
          <w:numId w:val="2"/>
        </w:numPr>
        <w:spacing w:before="0" w:after="0"/>
        <w:rPr>
          <w:lang w:val="sr-Latn-CS"/>
        </w:rPr>
      </w:pPr>
      <w:r>
        <w:rPr>
          <w:rFonts w:hint="default"/>
          <w:lang w:val="en-US"/>
        </w:rPr>
        <w:t>97.500</w:t>
      </w:r>
      <w:r>
        <w:rPr>
          <w:lang w:val="en"/>
        </w:rPr>
        <w:t>,</w:t>
      </w:r>
      <w:r>
        <w:rPr>
          <w:lang w:val="sr-Latn-CS"/>
        </w:rPr>
        <w:t>00 dinara (uplata u celosti prilikom upisa školske godine)</w:t>
      </w:r>
    </w:p>
    <w:p>
      <w:pPr>
        <w:numPr>
          <w:ilvl w:val="1"/>
          <w:numId w:val="2"/>
        </w:numPr>
        <w:spacing w:before="0" w:after="0"/>
        <w:rPr>
          <w:lang w:val="sr-Latn-CS"/>
        </w:rPr>
      </w:pPr>
      <w:r>
        <w:rPr>
          <w:rFonts w:hint="default"/>
          <w:lang w:val="en-US"/>
        </w:rPr>
        <w:t>114.300</w:t>
      </w:r>
      <w:r>
        <w:rPr>
          <w:lang w:val="en"/>
        </w:rPr>
        <w:t>,</w:t>
      </w:r>
      <w:r>
        <w:rPr>
          <w:lang w:val="sr-Latn-CS"/>
        </w:rPr>
        <w:t>00 dinara (uplata 50% iznosa prilikom upisa školske godine, odnosno uplata 50% iznosa prilikom evidencije zimskog semestra)</w:t>
      </w:r>
    </w:p>
    <w:p>
      <w:pPr>
        <w:spacing w:before="0" w:after="0"/>
        <w:rPr>
          <w:b/>
          <w:bCs/>
          <w:lang w:val="sr-Latn-CS"/>
        </w:rPr>
      </w:pPr>
      <w:r>
        <w:rPr>
          <w:lang w:val="sr-Latn-CS"/>
        </w:rPr>
        <w:t xml:space="preserve">što se zajedno uplaćuje se na žiro račun broj: </w:t>
      </w:r>
      <w:r>
        <w:rPr>
          <w:rFonts w:hint="default" w:ascii="Times New Roman" w:hAnsi="Times New Roman" w:eastAsia="Times New Roman" w:cs="Times New Roman"/>
          <w:b/>
          <w:bCs/>
          <w:lang w:val="en-US" w:eastAsia="zh-CN" w:bidi="en-US"/>
        </w:rPr>
        <w:t>840-32811845-96</w:t>
      </w:r>
      <w:r>
        <w:rPr>
          <w:b/>
          <w:bCs/>
          <w:lang w:val="sr-Latn-CS"/>
        </w:rPr>
        <w:t>,</w:t>
      </w:r>
      <w:r>
        <w:rPr>
          <w:lang w:val="sr-Latn-CS"/>
        </w:rPr>
        <w:t xml:space="preserve"> po uputstvu iz EREF-a za „Troškovi upisnine i školarine“.</w:t>
      </w:r>
    </w:p>
    <w:p>
      <w:pPr>
        <w:rPr>
          <w:lang w:val="sr-Latn-CS"/>
        </w:rPr>
      </w:pPr>
      <w:r>
        <w:rPr>
          <w:lang w:val="sr-Latn-CS"/>
        </w:rPr>
        <w:br w:type="page"/>
      </w:r>
    </w:p>
    <w:p>
      <w:pPr>
        <w:pStyle w:val="3"/>
        <w:rPr>
          <w:b/>
          <w:bCs/>
          <w:lang w:val="sr-Latn-CS"/>
        </w:rPr>
      </w:pPr>
      <w:r>
        <w:rPr>
          <w:b/>
          <w:bCs/>
          <w:lang w:val="sr-Latn-CS"/>
        </w:rPr>
        <w:t>Studenti prve godine koji su u PRETHODNOJ školskoj godini ostvarili od 48 do 60 ESPB-ECTS</w:t>
      </w:r>
    </w:p>
    <w:p>
      <w:pPr>
        <w:spacing w:after="0"/>
        <w:jc w:val="both"/>
        <w:rPr>
          <w:lang w:val="sr-Latn-CS"/>
        </w:rPr>
      </w:pPr>
      <w:r>
        <w:rPr>
          <w:lang w:val="sr-Latn-CS"/>
        </w:rPr>
        <w:t>Studenti prve godine koji su ostvarili od 48 do 60 ESPB-ECTS, upisuju se u drugu godinu studija i prelaze ili ostaju u statusu budžetskih studenata (finansira se od strane države).</w:t>
      </w:r>
    </w:p>
    <w:p>
      <w:pPr>
        <w:spacing w:after="0"/>
        <w:jc w:val="both"/>
        <w:rPr>
          <w:lang w:val="sr-Latn-CS"/>
        </w:rPr>
      </w:pPr>
      <w:r>
        <w:rPr>
          <w:lang w:val="sr-Latn-CS"/>
        </w:rPr>
        <w:t>Studenti koji nisu stekli 60 ESPB-ECTS na prvoj godini, ponovo upisuju one predmete prve godine koje nisu položili i sami ih finansiraju (ne finansira se od strane države) (na primer, ako je student tokom godine ostvario 54 ESPB-ECTS tada sa prve godine upisuje 60-54=6 ESPB-ECTS). Nepoloženi obavezni predmeti prve godine obavezno se upisuju, da zbir ESPB-ECTS predmeta sa prve godine bude minimalno 60.</w:t>
      </w:r>
    </w:p>
    <w:p>
      <w:pPr>
        <w:spacing w:after="0"/>
        <w:jc w:val="both"/>
        <w:rPr>
          <w:lang w:val="sr-Latn-CS"/>
        </w:rPr>
      </w:pPr>
      <w:r>
        <w:rPr>
          <w:lang w:val="sr-Latn-CS"/>
        </w:rPr>
        <w:t>Pošto studenti drugu godinu upisuju u statusu budžetskih studenata (finansira se od strane države), obavezni su da drugu godinu studija slušaju u celosti (svi obavezni predmeti, te onoliko izbornih predmeta da zbir ESPB-ECTS sa druge godine bude minimalno 60).</w:t>
      </w:r>
    </w:p>
    <w:p>
      <w:pPr>
        <w:spacing w:after="0"/>
        <w:jc w:val="both"/>
        <w:rPr>
          <w:lang w:val="sr-Latn-CS"/>
        </w:rPr>
      </w:pPr>
      <w:r>
        <w:rPr>
          <w:lang w:val="sr-Latn-CS"/>
        </w:rPr>
        <w:t>Svi upisani predmeti, ponovo se slušaju u celosti, a u slučaju preklapanja u rasporedu, obaveze se odrađuju u dogovoru sa predmetnim nastavnikom.</w:t>
      </w:r>
    </w:p>
    <w:p>
      <w:pPr>
        <w:spacing w:before="0" w:after="0"/>
        <w:rPr>
          <w:b/>
          <w:lang w:val="sr-Latn-CS"/>
        </w:rPr>
      </w:pPr>
      <w:r>
        <w:rPr>
          <w:b/>
          <w:lang w:val="sr-Latn-CS"/>
        </w:rPr>
        <w:t>Troškovi upisa su sledeći:</w:t>
      </w:r>
    </w:p>
    <w:p>
      <w:pPr>
        <w:numPr>
          <w:ilvl w:val="0"/>
          <w:numId w:val="3"/>
        </w:numPr>
        <w:spacing w:before="0" w:after="0"/>
        <w:rPr>
          <w:lang w:val="sr-Latn-CS"/>
        </w:rPr>
      </w:pPr>
      <w:r>
        <w:rPr>
          <w:lang w:val="sr-Latn-CS"/>
        </w:rPr>
        <w:t>1</w:t>
      </w:r>
      <w:r>
        <w:rPr>
          <w:rFonts w:hint="default"/>
          <w:lang w:val="en-US"/>
        </w:rPr>
        <w:t>1</w:t>
      </w:r>
      <w:r>
        <w:rPr>
          <w:lang w:val="sr-Latn-CS"/>
        </w:rPr>
        <w:t>.</w:t>
      </w:r>
      <w:r>
        <w:rPr>
          <w:rFonts w:hint="default"/>
          <w:lang w:val="en-US"/>
        </w:rPr>
        <w:t>0</w:t>
      </w:r>
      <w:r>
        <w:rPr>
          <w:lang w:val="sr-Latn-CS"/>
        </w:rPr>
        <w:t>00.00 dinara na ime troškova upisa,</w:t>
      </w:r>
    </w:p>
    <w:p>
      <w:pPr>
        <w:numPr>
          <w:ilvl w:val="0"/>
          <w:numId w:val="3"/>
        </w:numPr>
        <w:spacing w:before="0" w:after="0"/>
        <w:rPr>
          <w:lang w:val="sr-Latn-CS"/>
        </w:rPr>
      </w:pPr>
      <w:r>
        <w:rPr>
          <w:lang w:val="sr-Latn-CS"/>
        </w:rPr>
        <w:t>Troškovi ponovo upisanih ESPB-ECTS iz prve godine studija</w:t>
      </w:r>
      <w:r>
        <w:rPr>
          <w:lang w:val="sr-Latn-CS"/>
        </w:rPr>
        <w:br w:type="textWrapping"/>
      </w:r>
      <w:r>
        <w:rPr>
          <w:lang w:val="sr-Latn-CS"/>
        </w:rPr>
        <w:t>Student uplaćuje onoliko ESPB-ECTS koliko je ponovo upisao</w:t>
      </w:r>
    </w:p>
    <w:p>
      <w:pPr>
        <w:numPr>
          <w:ilvl w:val="1"/>
          <w:numId w:val="3"/>
        </w:numPr>
        <w:spacing w:before="0" w:after="0"/>
        <w:rPr>
          <w:lang w:val="sr-Latn-CS"/>
        </w:rPr>
      </w:pPr>
      <w:r>
        <w:rPr>
          <w:lang w:val="sr-Latn-CS"/>
        </w:rPr>
        <w:t>primer za uplatu u celosti: ako je student ponovo upisao 4 ESPB-ECTS, tada plaća 4*</w:t>
      </w:r>
      <w:r>
        <w:rPr>
          <w:rFonts w:hint="default"/>
          <w:lang w:val="en-US"/>
        </w:rPr>
        <w:t>1.625</w:t>
      </w:r>
      <w:r>
        <w:rPr>
          <w:lang w:val="en"/>
        </w:rPr>
        <w:t>,00</w:t>
      </w:r>
      <w:r>
        <w:rPr>
          <w:lang w:val="sr-Latn-CS"/>
        </w:rPr>
        <w:t>=</w:t>
      </w:r>
      <w:r>
        <w:rPr>
          <w:lang w:val="en"/>
        </w:rPr>
        <w:t>6.</w:t>
      </w:r>
      <w:r>
        <w:rPr>
          <w:rFonts w:hint="default"/>
          <w:lang w:val="en-US"/>
        </w:rPr>
        <w:t>50</w:t>
      </w:r>
      <w:r>
        <w:rPr>
          <w:lang w:val="en"/>
        </w:rPr>
        <w:t>0,</w:t>
      </w:r>
      <w:r>
        <w:rPr>
          <w:lang w:val="sr-Latn-CS"/>
        </w:rPr>
        <w:t>00 dinara (uplata u celosti prilikom upisa školske godine)</w:t>
      </w:r>
    </w:p>
    <w:p>
      <w:pPr>
        <w:numPr>
          <w:ilvl w:val="1"/>
          <w:numId w:val="3"/>
        </w:numPr>
        <w:spacing w:before="0" w:after="0"/>
        <w:rPr>
          <w:lang w:val="sr-Latn-CS"/>
        </w:rPr>
      </w:pPr>
      <w:r>
        <w:rPr>
          <w:lang w:val="sr-Latn-CS"/>
        </w:rPr>
        <w:t>primer za uplatu u dve rate: ako je student ponovo upisao 4 ESPB-ECTS, tada plaća 4*</w:t>
      </w:r>
      <w:r>
        <w:rPr>
          <w:lang w:val="en"/>
        </w:rPr>
        <w:t>1</w:t>
      </w:r>
      <w:r>
        <w:rPr>
          <w:lang w:val="sr-Latn-CS"/>
        </w:rPr>
        <w:t>.</w:t>
      </w:r>
      <w:r>
        <w:rPr>
          <w:rFonts w:hint="default"/>
          <w:lang w:val="en-US"/>
        </w:rPr>
        <w:t>905</w:t>
      </w:r>
      <w:r>
        <w:rPr>
          <w:lang w:val="en"/>
        </w:rPr>
        <w:t>,00</w:t>
      </w:r>
      <w:r>
        <w:rPr>
          <w:lang w:val="sr-Latn-CS"/>
        </w:rPr>
        <w:t>=</w:t>
      </w:r>
      <w:r>
        <w:rPr>
          <w:lang w:val="en"/>
        </w:rPr>
        <w:t>7</w:t>
      </w:r>
      <w:r>
        <w:rPr>
          <w:lang w:val="sr-Latn-CS"/>
        </w:rPr>
        <w:t>.</w:t>
      </w:r>
      <w:r>
        <w:rPr>
          <w:rFonts w:hint="default"/>
          <w:lang w:val="en-US"/>
        </w:rPr>
        <w:t>620</w:t>
      </w:r>
      <w:r>
        <w:rPr>
          <w:lang w:val="en"/>
        </w:rPr>
        <w:t>,</w:t>
      </w:r>
      <w:r>
        <w:rPr>
          <w:lang w:val="sr-Latn-CS"/>
        </w:rPr>
        <w:t>00 dinara (uplata 50% iznosa prilikom upisa školske godine, odnosno uplata 50% iznosa prilikom evidencije zimskog semestra)</w:t>
      </w:r>
    </w:p>
    <w:p>
      <w:pPr>
        <w:spacing w:before="0" w:after="0"/>
        <w:rPr>
          <w:b/>
          <w:bCs/>
          <w:lang w:val="sr-Latn-CS"/>
        </w:rPr>
      </w:pPr>
      <w:r>
        <w:rPr>
          <w:lang w:val="sr-Latn-CS"/>
        </w:rPr>
        <w:t xml:space="preserve">što se zajedno uplaćuje na žiro račun broj: </w:t>
      </w:r>
      <w:r>
        <w:rPr>
          <w:rFonts w:hint="default" w:ascii="Times New Roman" w:hAnsi="Times New Roman" w:eastAsia="Times New Roman" w:cs="Times New Roman"/>
          <w:b/>
          <w:bCs/>
          <w:lang w:val="en-US" w:eastAsia="zh-CN" w:bidi="en-US"/>
        </w:rPr>
        <w:t>840-32811845-96</w:t>
      </w:r>
      <w:r>
        <w:rPr>
          <w:b/>
          <w:bCs/>
          <w:lang w:val="sr-Latn-CS"/>
        </w:rPr>
        <w:t>,</w:t>
      </w:r>
      <w:r>
        <w:rPr>
          <w:lang w:val="sr-Latn-CS"/>
        </w:rPr>
        <w:t xml:space="preserve"> po uputstvu iz EREF-a za „Troškovi upisnine i školarine“.</w:t>
      </w:r>
    </w:p>
    <w:p>
      <w:pPr>
        <w:rPr>
          <w:lang w:val="sr-Latn-CS"/>
        </w:rPr>
      </w:pPr>
      <w:r>
        <w:rPr>
          <w:lang w:val="sr-Latn-CS"/>
        </w:rPr>
        <w:br w:type="page"/>
      </w:r>
    </w:p>
    <w:p>
      <w:pPr>
        <w:pStyle w:val="3"/>
        <w:rPr>
          <w:b/>
          <w:bCs/>
          <w:lang w:val="sr-Latn-CS"/>
        </w:rPr>
      </w:pPr>
      <w:r>
        <w:rPr>
          <w:b/>
          <w:bCs/>
          <w:lang w:val="sr-Latn-CS"/>
        </w:rPr>
        <w:t>Studenti DRUge godine koji su u PRETHODNOJ školskoj godini ostvarili od 0 do 36 ESPB-ECTS</w:t>
      </w:r>
    </w:p>
    <w:p>
      <w:pPr>
        <w:jc w:val="both"/>
        <w:rPr>
          <w:lang w:val="sr-Latn-CS"/>
        </w:rPr>
      </w:pPr>
      <w:r>
        <w:rPr>
          <w:lang w:val="sr-Latn-CS"/>
        </w:rPr>
        <w:t>Studenti druge godine koji su u prethodnoj školskoj godini ostvarili od 0 do 36 ESPB-ECTS, ponovo upisuju one predmete prve i druge godine koje nisu položili (ne mogu se upisati na treću godinu) i prelaze ili ostaju u statusu samofinansirajućih studenata.</w:t>
      </w:r>
    </w:p>
    <w:p>
      <w:pPr>
        <w:jc w:val="both"/>
        <w:rPr>
          <w:lang w:val="sr-Latn-CS"/>
        </w:rPr>
      </w:pPr>
      <w:r>
        <w:rPr>
          <w:lang w:val="sr-Latn-CS"/>
        </w:rPr>
        <w:t>Nepoloženi obavezni predmeti prve i druge godine obavezno se upisuju, dok se nepoloženi izborni predmeti druge godine mogu ponovo upisati ili se umesto njih student može opredeliti za neki drugi izborni predmet (uslov izbora je da zbir ESPB-ECTS predmeta prve i druge godine bude u skladu sa akreditovanim studijskim programom).</w:t>
      </w:r>
    </w:p>
    <w:p>
      <w:pPr>
        <w:jc w:val="both"/>
        <w:rPr>
          <w:lang w:val="sr-Latn-CS"/>
        </w:rPr>
      </w:pPr>
      <w:r>
        <w:rPr>
          <w:lang w:val="sr-Latn-CS"/>
        </w:rPr>
        <w:t>Svi upisani predmeti, ponovo se slušaju u celosti, a u slučaju preklapanja u rasporedu, obaveze se odrađuju u dogovoru sa predmetnim nastavnikom.</w:t>
      </w:r>
    </w:p>
    <w:p>
      <w:pPr>
        <w:spacing w:before="0" w:after="0"/>
        <w:rPr>
          <w:b/>
          <w:lang w:val="sr-Latn-CS"/>
        </w:rPr>
      </w:pPr>
      <w:r>
        <w:rPr>
          <w:b/>
          <w:lang w:val="sr-Latn-CS"/>
        </w:rPr>
        <w:t>Troškovi upisa su sledeći:</w:t>
      </w:r>
    </w:p>
    <w:p>
      <w:pPr>
        <w:numPr>
          <w:ilvl w:val="0"/>
          <w:numId w:val="4"/>
        </w:numPr>
        <w:spacing w:before="0" w:after="0"/>
        <w:rPr>
          <w:lang w:val="sr-Latn-CS"/>
        </w:rPr>
      </w:pPr>
      <w:r>
        <w:rPr>
          <w:lang w:val="sr-Latn-CS"/>
        </w:rPr>
        <w:t>1</w:t>
      </w:r>
      <w:r>
        <w:rPr>
          <w:rFonts w:hint="default"/>
          <w:lang w:val="en-US"/>
        </w:rPr>
        <w:t>1</w:t>
      </w:r>
      <w:r>
        <w:rPr>
          <w:lang w:val="sr-Latn-CS"/>
        </w:rPr>
        <w:t>.</w:t>
      </w:r>
      <w:r>
        <w:rPr>
          <w:rFonts w:hint="default"/>
          <w:lang w:val="en-US"/>
        </w:rPr>
        <w:t>0</w:t>
      </w:r>
      <w:r>
        <w:rPr>
          <w:lang w:val="sr-Latn-CS"/>
        </w:rPr>
        <w:t>00.00 dinara na ime troškova upisa,</w:t>
      </w:r>
    </w:p>
    <w:p>
      <w:pPr>
        <w:numPr>
          <w:ilvl w:val="0"/>
          <w:numId w:val="4"/>
        </w:numPr>
        <w:spacing w:before="0" w:after="0"/>
        <w:rPr>
          <w:lang w:val="sr-Latn-CS"/>
        </w:rPr>
      </w:pPr>
      <w:r>
        <w:rPr>
          <w:lang w:val="sr-Latn-CS"/>
        </w:rPr>
        <w:t>Troškovi ponovo upisanih ESPB-ECTS iz prve godine studija</w:t>
      </w:r>
      <w:r>
        <w:rPr>
          <w:lang w:val="sr-Latn-CS"/>
        </w:rPr>
        <w:br w:type="textWrapping"/>
      </w:r>
      <w:r>
        <w:rPr>
          <w:lang w:val="sr-Latn-CS"/>
        </w:rPr>
        <w:t>Student uplaćuje onoliko ESPB-ECTS koliko je ponovo upisao</w:t>
      </w:r>
    </w:p>
    <w:p>
      <w:pPr>
        <w:numPr>
          <w:ilvl w:val="1"/>
          <w:numId w:val="4"/>
        </w:numPr>
        <w:spacing w:before="0" w:after="0"/>
        <w:rPr>
          <w:lang w:val="sr-Latn-CS"/>
        </w:rPr>
      </w:pPr>
      <w:r>
        <w:rPr>
          <w:lang w:val="sr-Latn-CS"/>
        </w:rPr>
        <w:t>primer za uplatu u celosti: ako je student ponovo upisao 40 ESPB-ECTS, tada plaća 40*</w:t>
      </w:r>
      <w:r>
        <w:rPr>
          <w:lang w:val="en"/>
        </w:rPr>
        <w:t>1</w:t>
      </w:r>
      <w:r>
        <w:rPr>
          <w:lang w:val="sr-Latn-CS"/>
        </w:rPr>
        <w:t>.</w:t>
      </w:r>
      <w:r>
        <w:rPr>
          <w:rFonts w:hint="default"/>
          <w:lang w:val="en-US"/>
        </w:rPr>
        <w:t>625</w:t>
      </w:r>
      <w:r>
        <w:rPr>
          <w:lang w:val="en"/>
        </w:rPr>
        <w:t>,</w:t>
      </w:r>
      <w:r>
        <w:rPr>
          <w:lang w:val="sr-Latn-CS"/>
        </w:rPr>
        <w:t>00=</w:t>
      </w:r>
      <w:r>
        <w:rPr>
          <w:lang w:val="en"/>
        </w:rPr>
        <w:t>6</w:t>
      </w:r>
      <w:r>
        <w:rPr>
          <w:rFonts w:hint="default"/>
          <w:lang w:val="en-US"/>
        </w:rPr>
        <w:t>5</w:t>
      </w:r>
      <w:r>
        <w:rPr>
          <w:lang w:val="en"/>
        </w:rPr>
        <w:t>.</w:t>
      </w:r>
      <w:r>
        <w:rPr>
          <w:rFonts w:hint="default"/>
          <w:lang w:val="en-US"/>
        </w:rPr>
        <w:t>0</w:t>
      </w:r>
      <w:r>
        <w:rPr>
          <w:lang w:val="en"/>
        </w:rPr>
        <w:t>0</w:t>
      </w:r>
      <w:r>
        <w:rPr>
          <w:lang w:val="sr-Latn-CS"/>
        </w:rPr>
        <w:t>0</w:t>
      </w:r>
      <w:r>
        <w:rPr>
          <w:lang w:val="en"/>
        </w:rPr>
        <w:t>,</w:t>
      </w:r>
      <w:r>
        <w:rPr>
          <w:lang w:val="sr-Latn-CS"/>
        </w:rPr>
        <w:t>00 dinara (uplata u celosti prilikom upisa školske godine)</w:t>
      </w:r>
    </w:p>
    <w:p>
      <w:pPr>
        <w:numPr>
          <w:ilvl w:val="1"/>
          <w:numId w:val="4"/>
        </w:numPr>
        <w:spacing w:before="0" w:after="0"/>
        <w:rPr>
          <w:lang w:val="sr-Latn-CS"/>
        </w:rPr>
      </w:pPr>
      <w:r>
        <w:rPr>
          <w:lang w:val="sr-Latn-CS"/>
        </w:rPr>
        <w:t>primer za uplatu u dve rate: ako je student ponovo upisao 40 ESPB-ECTS, tada plaća 40*</w:t>
      </w:r>
      <w:r>
        <w:rPr>
          <w:lang w:val="en"/>
        </w:rPr>
        <w:t>1.</w:t>
      </w:r>
      <w:r>
        <w:rPr>
          <w:rFonts w:hint="default"/>
          <w:lang w:val="en-US"/>
        </w:rPr>
        <w:t>905</w:t>
      </w:r>
      <w:r>
        <w:rPr>
          <w:lang w:val="en"/>
        </w:rPr>
        <w:t>,</w:t>
      </w:r>
      <w:r>
        <w:rPr>
          <w:lang w:val="sr-Latn-CS"/>
        </w:rPr>
        <w:t>00=</w:t>
      </w:r>
      <w:r>
        <w:rPr>
          <w:lang w:val="en"/>
        </w:rPr>
        <w:t>7</w:t>
      </w:r>
      <w:r>
        <w:rPr>
          <w:rFonts w:hint="default"/>
          <w:lang w:val="en-US"/>
        </w:rPr>
        <w:t>6</w:t>
      </w:r>
      <w:r>
        <w:rPr>
          <w:lang w:val="en"/>
        </w:rPr>
        <w:t>.</w:t>
      </w:r>
      <w:r>
        <w:rPr>
          <w:rFonts w:hint="default"/>
          <w:lang w:val="en-US"/>
        </w:rPr>
        <w:t>2</w:t>
      </w:r>
      <w:r>
        <w:rPr>
          <w:lang w:val="en"/>
        </w:rPr>
        <w:t>00,</w:t>
      </w:r>
      <w:r>
        <w:rPr>
          <w:lang w:val="sr-Latn-CS"/>
        </w:rPr>
        <w:t>00 dinara (uplata 50% iznosa prilikom upisa školske godine, odnosno uplata 50% iznosa prilikom evidencije zimskog semestra)</w:t>
      </w:r>
    </w:p>
    <w:p>
      <w:pPr>
        <w:spacing w:before="0" w:after="0"/>
        <w:rPr>
          <w:b/>
          <w:bCs/>
          <w:lang w:val="sr-Latn-CS"/>
        </w:rPr>
      </w:pPr>
      <w:r>
        <w:rPr>
          <w:lang w:val="sr-Latn-CS"/>
        </w:rPr>
        <w:t xml:space="preserve">što se zajedno uplaćuje na žiro račun broj: </w:t>
      </w:r>
      <w:r>
        <w:rPr>
          <w:rFonts w:hint="default" w:ascii="Times New Roman" w:hAnsi="Times New Roman" w:eastAsia="Times New Roman" w:cs="Times New Roman"/>
          <w:b/>
          <w:bCs/>
          <w:lang w:val="en-US" w:eastAsia="zh-CN" w:bidi="en-US"/>
        </w:rPr>
        <w:t>840-32811845-96</w:t>
      </w:r>
      <w:r>
        <w:rPr>
          <w:b/>
          <w:bCs/>
          <w:lang w:val="sr-Latn-CS"/>
        </w:rPr>
        <w:t>,</w:t>
      </w:r>
      <w:r>
        <w:rPr>
          <w:lang w:val="sr-Latn-CS"/>
        </w:rPr>
        <w:t xml:space="preserve"> po uputstvu iz EREF-a za „Troškovi upisnine i školarine“.</w:t>
      </w:r>
    </w:p>
    <w:p>
      <w:pPr>
        <w:spacing w:before="0" w:after="0"/>
        <w:rPr>
          <w:lang w:val="sr-Latn-CS"/>
        </w:rPr>
      </w:pPr>
    </w:p>
    <w:p>
      <w:pPr>
        <w:rPr>
          <w:lang w:val="sr-Latn-CS"/>
        </w:rPr>
      </w:pPr>
      <w:r>
        <w:rPr>
          <w:lang w:val="sr-Latn-CS"/>
        </w:rPr>
        <w:br w:type="page"/>
      </w:r>
    </w:p>
    <w:p>
      <w:pPr>
        <w:pStyle w:val="3"/>
        <w:rPr>
          <w:b/>
          <w:bCs/>
          <w:lang w:val="sr-Latn-CS"/>
        </w:rPr>
      </w:pPr>
      <w:r>
        <w:rPr>
          <w:b/>
          <w:bCs/>
          <w:lang w:val="sr-Latn-CS"/>
        </w:rPr>
        <w:t>Studenti DRUge godine koji su u PRETHODNOJ školskoj godini ostvarili od 37 do 47 ESPB-ECTS</w:t>
      </w:r>
    </w:p>
    <w:p>
      <w:pPr>
        <w:jc w:val="both"/>
        <w:rPr>
          <w:lang w:val="sr-Latn-CS"/>
        </w:rPr>
      </w:pPr>
      <w:r>
        <w:rPr>
          <w:lang w:val="sr-Latn-CS"/>
        </w:rPr>
        <w:t>Studenti druge godine koji su u prethodnoj školskoj godini ostvarili od 37 do 47 ESPB-ECTS, prelaze ili ostaju u statusu samofinansirajućih studenata. Studenti ponovo upisuju one predmete prve i druge godine koje nisu položili, te onoliko predmeta sa treće godine, da zbir upisanih ESPB-ECTS bude minimalno 60 (na primer, ako je student u prethodnoj školskoj godini ostvario 39 ESPB-ECTS, a pre toga 46 ESPB-ECTS, odnosno ukupno 85 ESPB-ECTS, tada sa prve i druge godine upisuje 120-85=35 ESPB-ECTS, a sa treće godine 60-35=25 ESPB-ECTS).</w:t>
      </w:r>
    </w:p>
    <w:p>
      <w:pPr>
        <w:jc w:val="both"/>
        <w:rPr>
          <w:lang w:val="sr-Latn-CS"/>
        </w:rPr>
      </w:pPr>
      <w:r>
        <w:rPr>
          <w:lang w:val="sr-Latn-CS"/>
        </w:rPr>
        <w:t>Nepoloženi obavezni predmeti prve i druge godine obavezno se upisuju, dok se nepoloženi izborni predmeti druge godine mogu ponovo upisati ili se umesto njih student može opredeliti za neki drugi izborni predmet (uslov izbora je da zbir ESPB-ECTS predmeta po godini bude u skladu sa akreditovanim studijskim programom).</w:t>
      </w:r>
    </w:p>
    <w:p>
      <w:pPr>
        <w:jc w:val="both"/>
        <w:rPr>
          <w:lang w:val="sr-Latn-CS"/>
        </w:rPr>
      </w:pPr>
      <w:r>
        <w:rPr>
          <w:lang w:val="sr-Latn-CS"/>
        </w:rPr>
        <w:t>Sa treće godine, student prvenstveno upisuje obavezne predmete.</w:t>
      </w:r>
    </w:p>
    <w:p>
      <w:pPr>
        <w:jc w:val="both"/>
        <w:rPr>
          <w:lang w:val="sr-Latn-CS"/>
        </w:rPr>
      </w:pPr>
      <w:r>
        <w:rPr>
          <w:lang w:val="sr-Latn-CS"/>
        </w:rPr>
        <w:t>Svi upisani predmeti, ponovo se slušaju u celosti, a u slučaju preklapanja u rasporedu, obaveze se odrađuju u dogovoru sa predmetnim nastavnikom.</w:t>
      </w:r>
    </w:p>
    <w:p>
      <w:pPr>
        <w:spacing w:before="0" w:after="0"/>
        <w:rPr>
          <w:b/>
          <w:lang w:val="sr-Latn-CS"/>
        </w:rPr>
      </w:pPr>
      <w:r>
        <w:rPr>
          <w:b/>
          <w:lang w:val="sr-Latn-CS"/>
        </w:rPr>
        <w:t>Troškovi upisa su sledeći:</w:t>
      </w:r>
    </w:p>
    <w:p>
      <w:pPr>
        <w:numPr>
          <w:ilvl w:val="0"/>
          <w:numId w:val="5"/>
        </w:numPr>
        <w:spacing w:before="0" w:after="0"/>
        <w:rPr>
          <w:lang w:val="sr-Latn-CS"/>
        </w:rPr>
      </w:pPr>
      <w:r>
        <w:rPr>
          <w:lang w:val="sr-Latn-CS"/>
        </w:rPr>
        <w:t>1</w:t>
      </w:r>
      <w:r>
        <w:rPr>
          <w:rFonts w:hint="default"/>
          <w:lang w:val="en-US"/>
        </w:rPr>
        <w:t>1</w:t>
      </w:r>
      <w:r>
        <w:rPr>
          <w:lang w:val="sr-Latn-CS"/>
        </w:rPr>
        <w:t>.</w:t>
      </w:r>
      <w:r>
        <w:rPr>
          <w:rFonts w:hint="default"/>
          <w:lang w:val="en-US"/>
        </w:rPr>
        <w:t>0</w:t>
      </w:r>
      <w:r>
        <w:rPr>
          <w:lang w:val="sr-Latn-CS"/>
        </w:rPr>
        <w:t>00.00 dinara na ime troškova upisa,</w:t>
      </w:r>
    </w:p>
    <w:p>
      <w:pPr>
        <w:numPr>
          <w:ilvl w:val="0"/>
          <w:numId w:val="5"/>
        </w:numPr>
        <w:spacing w:before="0" w:after="0"/>
        <w:rPr>
          <w:lang w:val="sr-Latn-CS"/>
        </w:rPr>
      </w:pPr>
      <w:r>
        <w:rPr>
          <w:lang w:val="sr-Latn-CS"/>
        </w:rPr>
        <w:t>Troškovi školarine</w:t>
      </w:r>
    </w:p>
    <w:p>
      <w:pPr>
        <w:numPr>
          <w:ilvl w:val="1"/>
          <w:numId w:val="5"/>
        </w:numPr>
        <w:spacing w:before="0" w:after="0"/>
        <w:rPr>
          <w:lang w:val="sr-Latn-CS"/>
        </w:rPr>
      </w:pPr>
      <w:r>
        <w:rPr>
          <w:lang w:val="en"/>
        </w:rPr>
        <w:t>9</w:t>
      </w:r>
      <w:r>
        <w:rPr>
          <w:rFonts w:hint="default"/>
          <w:lang w:val="en-US"/>
        </w:rPr>
        <w:t>7</w:t>
      </w:r>
      <w:r>
        <w:rPr>
          <w:lang w:val="sr-Latn-CS"/>
        </w:rPr>
        <w:t>.</w:t>
      </w:r>
      <w:r>
        <w:rPr>
          <w:rFonts w:hint="default"/>
          <w:lang w:val="en-US"/>
        </w:rPr>
        <w:t>5</w:t>
      </w:r>
      <w:r>
        <w:rPr>
          <w:lang w:val="sr-Latn-CS"/>
        </w:rPr>
        <w:t>00</w:t>
      </w:r>
      <w:r>
        <w:rPr>
          <w:lang w:val="en"/>
        </w:rPr>
        <w:t>,</w:t>
      </w:r>
      <w:r>
        <w:rPr>
          <w:lang w:val="sr-Latn-CS"/>
        </w:rPr>
        <w:t>00 dinara (uplata u celosti prilikom upisa školske godine)</w:t>
      </w:r>
    </w:p>
    <w:p>
      <w:pPr>
        <w:numPr>
          <w:ilvl w:val="1"/>
          <w:numId w:val="5"/>
        </w:numPr>
        <w:spacing w:before="0" w:after="0"/>
        <w:rPr>
          <w:lang w:val="sr-Latn-CS"/>
        </w:rPr>
      </w:pPr>
      <w:r>
        <w:rPr>
          <w:lang w:val="sr-Latn-CS"/>
        </w:rPr>
        <w:t>11</w:t>
      </w:r>
      <w:r>
        <w:rPr>
          <w:rFonts w:hint="default"/>
          <w:lang w:val="en-US"/>
        </w:rPr>
        <w:t>4</w:t>
      </w:r>
      <w:r>
        <w:rPr>
          <w:lang w:val="sr-Latn-CS"/>
        </w:rPr>
        <w:t>.</w:t>
      </w:r>
      <w:r>
        <w:rPr>
          <w:rFonts w:hint="default"/>
          <w:lang w:val="en-US"/>
        </w:rPr>
        <w:t>3</w:t>
      </w:r>
      <w:r>
        <w:rPr>
          <w:lang w:val="sr-Latn-CS"/>
        </w:rPr>
        <w:t>00</w:t>
      </w:r>
      <w:r>
        <w:rPr>
          <w:lang w:val="en"/>
        </w:rPr>
        <w:t>,</w:t>
      </w:r>
      <w:r>
        <w:rPr>
          <w:lang w:val="sr-Latn-CS"/>
        </w:rPr>
        <w:t>00 dinara (uplata 50% iznosa prilikom upisa školske godine, odnosno uplata 50% iznosa prilikom evidencije zimskog semestra)</w:t>
      </w:r>
    </w:p>
    <w:p>
      <w:pPr>
        <w:spacing w:before="0" w:after="0"/>
        <w:rPr>
          <w:b/>
          <w:bCs/>
          <w:lang w:val="sr-Latn-CS"/>
        </w:rPr>
      </w:pPr>
      <w:r>
        <w:rPr>
          <w:lang w:val="sr-Latn-CS"/>
        </w:rPr>
        <w:t xml:space="preserve">što se zajedno uplaćuje se na žiro račun broj: </w:t>
      </w:r>
      <w:r>
        <w:rPr>
          <w:rFonts w:hint="default" w:ascii="Times New Roman" w:hAnsi="Times New Roman" w:eastAsia="Times New Roman" w:cs="Times New Roman"/>
          <w:b/>
          <w:bCs/>
          <w:lang w:val="en-US" w:eastAsia="zh-CN" w:bidi="en-US"/>
        </w:rPr>
        <w:t>840-32811845-96</w:t>
      </w:r>
      <w:r>
        <w:rPr>
          <w:b/>
          <w:bCs/>
          <w:lang w:val="sr-Latn-CS"/>
        </w:rPr>
        <w:t>,</w:t>
      </w:r>
      <w:r>
        <w:rPr>
          <w:lang w:val="sr-Latn-CS"/>
        </w:rPr>
        <w:t xml:space="preserve"> po uputstvu iz EREF-a za „Troškovi upisnine i školarine“.</w:t>
      </w:r>
    </w:p>
    <w:p>
      <w:pPr>
        <w:spacing w:before="0" w:after="0" w:line="240" w:lineRule="auto"/>
        <w:rPr>
          <w:lang w:val="sr-Latn-CS"/>
        </w:rPr>
      </w:pPr>
      <w:r>
        <w:rPr>
          <w:lang w:val="sr-Latn-CS"/>
        </w:rPr>
        <w:br w:type="page"/>
      </w:r>
    </w:p>
    <w:p>
      <w:pPr>
        <w:pStyle w:val="3"/>
        <w:rPr>
          <w:b/>
          <w:bCs/>
          <w:lang w:val="sr-Latn-CS"/>
        </w:rPr>
      </w:pPr>
      <w:r>
        <w:rPr>
          <w:b/>
          <w:bCs/>
          <w:lang w:val="sr-Latn-CS"/>
        </w:rPr>
        <w:t>Studenti DRUge godine koji su u PRETHODNOJ školskoj godini ostvarili od 48 do 60 ESPB-ECTS</w:t>
      </w:r>
    </w:p>
    <w:p>
      <w:pPr>
        <w:spacing w:after="0"/>
        <w:jc w:val="both"/>
        <w:rPr>
          <w:lang w:val="sr-Latn-CS"/>
        </w:rPr>
      </w:pPr>
      <w:r>
        <w:rPr>
          <w:lang w:val="sr-Latn-CS"/>
        </w:rPr>
        <w:t>Studenti druge godine koji su u prethodnoj školskoj godini ostvarili od 48 do 60 ESPB-ECTS, upisuju se u treću godinu studija i prelaze ili ostaju u statusu budžetskih studenata (finansira se od strane države).</w:t>
      </w:r>
    </w:p>
    <w:p>
      <w:pPr>
        <w:spacing w:after="0"/>
        <w:jc w:val="both"/>
        <w:rPr>
          <w:lang w:val="sr-Latn-CS"/>
        </w:rPr>
      </w:pPr>
      <w:r>
        <w:rPr>
          <w:lang w:val="sr-Latn-CS"/>
        </w:rPr>
        <w:t>Studenti koji nisu stekli 60 ESPB-ECTS na prvoj godini, odnosno 60 ESPB-ECTS na drugoj godini, ponovo upisuju one predmete prve i druge godine koje nisu položili i sami ih finansiraju (ne finansira se od strane države) (na primer, ako je student sa prve godine ostvario 54 ESPB-ECTS, a sa druge godine 49 ESPB-ECTS, tada sa prve godine upisuje 60-54=6 ESPB-ECTS, a sa druge godine 60-49=11 ESPB-ECTS). Nepoloženi obavezni predmeti prve i druge godine obavezno se upisuju, dok se nepoloženi izborni predmeti druge godine mogu ponovo upisati ili se umesto njih student može opredeliti za neki drugi izborni predmet (uslov izbora je da zbir ESPB-ECTS predmeta sa prve i druge godine bude u skladu sa akreditovanim studijskim programom).</w:t>
      </w:r>
    </w:p>
    <w:p>
      <w:pPr>
        <w:spacing w:after="0"/>
        <w:jc w:val="both"/>
        <w:rPr>
          <w:lang w:val="sr-Latn-CS"/>
        </w:rPr>
      </w:pPr>
      <w:r>
        <w:rPr>
          <w:lang w:val="sr-Latn-CS"/>
        </w:rPr>
        <w:t>Pošto studenti treću godinu upisuju u statusu budžetskih studenata (finansira se od strane države), obavezni su da treću godinu studija slušaju u celosti (svi obavezni predmeti, te onoliko izbornih predmeta da zbir ESPB-ECTS sa treće godine bude minimalno 60).</w:t>
      </w:r>
    </w:p>
    <w:p>
      <w:pPr>
        <w:spacing w:after="0"/>
        <w:jc w:val="both"/>
        <w:rPr>
          <w:lang w:val="sr-Latn-CS"/>
        </w:rPr>
      </w:pPr>
      <w:r>
        <w:rPr>
          <w:lang w:val="sr-Latn-CS"/>
        </w:rPr>
        <w:t>Svi upisani predmeti, ponovo se slušaju u celosti, a u slučaju preklapanja u rasporedu, obaveze se odrađuju u dogovoru sa predmetnim nastavnikom.</w:t>
      </w:r>
    </w:p>
    <w:p>
      <w:pPr>
        <w:spacing w:before="0" w:after="0"/>
        <w:rPr>
          <w:b/>
          <w:lang w:val="sr-Latn-CS"/>
        </w:rPr>
      </w:pPr>
      <w:r>
        <w:rPr>
          <w:b/>
          <w:lang w:val="sr-Latn-CS"/>
        </w:rPr>
        <w:t>Troškovi upisa su sledeći:</w:t>
      </w:r>
    </w:p>
    <w:p>
      <w:pPr>
        <w:numPr>
          <w:ilvl w:val="0"/>
          <w:numId w:val="6"/>
        </w:numPr>
        <w:spacing w:before="0" w:after="0"/>
        <w:rPr>
          <w:lang w:val="sr-Latn-CS"/>
        </w:rPr>
      </w:pPr>
      <w:r>
        <w:rPr>
          <w:lang w:val="sr-Latn-CS"/>
        </w:rPr>
        <w:t>1</w:t>
      </w:r>
      <w:r>
        <w:rPr>
          <w:rFonts w:hint="default"/>
          <w:lang w:val="en-US"/>
        </w:rPr>
        <w:t>1</w:t>
      </w:r>
      <w:r>
        <w:rPr>
          <w:lang w:val="sr-Latn-CS"/>
        </w:rPr>
        <w:t>.</w:t>
      </w:r>
      <w:r>
        <w:rPr>
          <w:rFonts w:hint="default"/>
          <w:lang w:val="en-US"/>
        </w:rPr>
        <w:t>0</w:t>
      </w:r>
      <w:r>
        <w:rPr>
          <w:lang w:val="sr-Latn-CS"/>
        </w:rPr>
        <w:t>00.00 dinara na ime troškova upisa,</w:t>
      </w:r>
    </w:p>
    <w:p>
      <w:pPr>
        <w:numPr>
          <w:ilvl w:val="0"/>
          <w:numId w:val="6"/>
        </w:numPr>
        <w:spacing w:before="0" w:after="0"/>
        <w:rPr>
          <w:lang w:val="sr-Latn-CS"/>
        </w:rPr>
      </w:pPr>
      <w:r>
        <w:rPr>
          <w:lang w:val="sr-Latn-CS"/>
        </w:rPr>
        <w:t>Troškovi ponovo upisanih ESPB-ECTS iz prve i druge godine studija</w:t>
      </w:r>
      <w:r>
        <w:rPr>
          <w:lang w:val="sr-Latn-CS"/>
        </w:rPr>
        <w:br w:type="textWrapping"/>
      </w:r>
      <w:r>
        <w:rPr>
          <w:lang w:val="sr-Latn-CS"/>
        </w:rPr>
        <w:t>Student uplaćuje onoliko ESPB-ECTS koliko je ponovo upisao</w:t>
      </w:r>
    </w:p>
    <w:p>
      <w:pPr>
        <w:numPr>
          <w:ilvl w:val="1"/>
          <w:numId w:val="6"/>
        </w:numPr>
        <w:spacing w:before="0" w:after="0"/>
        <w:rPr>
          <w:lang w:val="sr-Latn-CS"/>
        </w:rPr>
      </w:pPr>
      <w:r>
        <w:rPr>
          <w:lang w:val="sr-Latn-CS"/>
        </w:rPr>
        <w:t>primer za uplatu u celosti: ako je student ponovo upisao 4 ESPB-ECTS, tada plaća 4*</w:t>
      </w:r>
      <w:r>
        <w:rPr>
          <w:lang w:val="en"/>
        </w:rPr>
        <w:t>1.</w:t>
      </w:r>
      <w:r>
        <w:rPr>
          <w:rFonts w:hint="default"/>
          <w:lang w:val="en-US"/>
        </w:rPr>
        <w:t>625</w:t>
      </w:r>
      <w:r>
        <w:rPr>
          <w:lang w:val="en"/>
        </w:rPr>
        <w:t>,00</w:t>
      </w:r>
      <w:r>
        <w:rPr>
          <w:lang w:val="sr-Latn-CS"/>
        </w:rPr>
        <w:t>=</w:t>
      </w:r>
      <w:r>
        <w:rPr>
          <w:lang w:val="en"/>
        </w:rPr>
        <w:t>6.</w:t>
      </w:r>
      <w:r>
        <w:rPr>
          <w:rFonts w:hint="default"/>
          <w:lang w:val="en-US"/>
        </w:rPr>
        <w:t>.50</w:t>
      </w:r>
      <w:r>
        <w:rPr>
          <w:lang w:val="en"/>
        </w:rPr>
        <w:t>0,</w:t>
      </w:r>
      <w:r>
        <w:rPr>
          <w:lang w:val="sr-Latn-CS"/>
        </w:rPr>
        <w:t>00 dinara (uplata u celosti prilikom upisa školske godine)</w:t>
      </w:r>
    </w:p>
    <w:p>
      <w:pPr>
        <w:numPr>
          <w:ilvl w:val="1"/>
          <w:numId w:val="6"/>
        </w:numPr>
        <w:spacing w:before="0" w:after="0"/>
        <w:rPr>
          <w:lang w:val="sr-Latn-CS"/>
        </w:rPr>
      </w:pPr>
      <w:r>
        <w:rPr>
          <w:lang w:val="sr-Latn-CS"/>
        </w:rPr>
        <w:t>primer za uplatu u dve rate: ako je student ponovo upisao 4 ESPB-ECTS, tada plaća 4*</w:t>
      </w:r>
      <w:r>
        <w:rPr>
          <w:lang w:val="en"/>
        </w:rPr>
        <w:t>1.</w:t>
      </w:r>
      <w:r>
        <w:rPr>
          <w:rFonts w:hint="default"/>
          <w:lang w:val="en-US"/>
        </w:rPr>
        <w:t>90</w:t>
      </w:r>
      <w:r>
        <w:rPr>
          <w:lang w:val="en"/>
        </w:rPr>
        <w:t>5,</w:t>
      </w:r>
      <w:r>
        <w:rPr>
          <w:lang w:val="sr-Latn-CS"/>
        </w:rPr>
        <w:t>00=</w:t>
      </w:r>
      <w:r>
        <w:rPr>
          <w:lang w:val="en"/>
        </w:rPr>
        <w:t>7</w:t>
      </w:r>
      <w:r>
        <w:rPr>
          <w:lang w:val="sr-Latn-CS"/>
        </w:rPr>
        <w:t>.</w:t>
      </w:r>
      <w:r>
        <w:rPr>
          <w:rFonts w:hint="default"/>
          <w:lang w:val="en-US"/>
        </w:rPr>
        <w:t>62</w:t>
      </w:r>
      <w:r>
        <w:rPr>
          <w:lang w:val="en"/>
        </w:rPr>
        <w:t>0,</w:t>
      </w:r>
      <w:r>
        <w:rPr>
          <w:lang w:val="sr-Latn-CS"/>
        </w:rPr>
        <w:t>00 dinara (uplata 50% iznosa prilikom upisa školske godine, odnosno uplata 50% iznosa prilikom evidencije zimskog semestra)</w:t>
      </w:r>
    </w:p>
    <w:p>
      <w:pPr>
        <w:spacing w:before="0" w:after="0"/>
        <w:rPr>
          <w:b/>
          <w:bCs/>
          <w:lang w:val="sr-Latn-CS"/>
        </w:rPr>
      </w:pPr>
      <w:r>
        <w:rPr>
          <w:lang w:val="sr-Latn-CS"/>
        </w:rPr>
        <w:t xml:space="preserve">što se zajedno uplaćuje na žiro račun broj: </w:t>
      </w:r>
      <w:r>
        <w:rPr>
          <w:rFonts w:hint="default" w:ascii="Times New Roman" w:hAnsi="Times New Roman" w:eastAsia="Times New Roman" w:cs="Times New Roman"/>
          <w:b/>
          <w:bCs/>
          <w:lang w:val="en-US" w:eastAsia="zh-CN" w:bidi="en-US"/>
        </w:rPr>
        <w:t>840-32811845-96</w:t>
      </w:r>
      <w:r>
        <w:rPr>
          <w:b/>
          <w:bCs/>
          <w:lang w:val="sr-Latn-CS"/>
        </w:rPr>
        <w:t>,</w:t>
      </w:r>
      <w:r>
        <w:rPr>
          <w:lang w:val="sr-Latn-CS"/>
        </w:rPr>
        <w:t xml:space="preserve"> po uputstvu iz EREF-a za „Troškovi upisnine i školarine“.</w:t>
      </w:r>
    </w:p>
    <w:p>
      <w:pPr>
        <w:rPr>
          <w:lang w:val="sr-Latn-CS"/>
        </w:rPr>
      </w:pPr>
      <w:r>
        <w:rPr>
          <w:lang w:val="sr-Latn-CS"/>
        </w:rPr>
        <w:br w:type="page"/>
      </w:r>
    </w:p>
    <w:p>
      <w:pPr>
        <w:pStyle w:val="3"/>
        <w:rPr>
          <w:b/>
          <w:bCs/>
          <w:lang w:val="sr-Latn-CS"/>
        </w:rPr>
      </w:pPr>
      <w:r>
        <w:rPr>
          <w:b/>
          <w:bCs/>
          <w:lang w:val="sr-Latn-CS"/>
        </w:rPr>
        <w:t>studenti treće godine koji su se u PRETHODNOJ školskoj godini finansirali iz budžeta</w:t>
      </w:r>
    </w:p>
    <w:p>
      <w:pPr>
        <w:spacing w:before="0" w:after="0"/>
        <w:rPr>
          <w:b/>
          <w:bCs/>
          <w:color w:val="000000" w:themeColor="text1"/>
          <w:lang w:val="sr-Latn-CS"/>
          <w14:textFill>
            <w14:solidFill>
              <w14:schemeClr w14:val="tx1"/>
            </w14:solidFill>
          </w14:textFill>
        </w:rPr>
      </w:pPr>
      <w:r>
        <w:rPr>
          <w:b/>
          <w:bCs/>
          <w:color w:val="000000" w:themeColor="text1"/>
          <w:lang w:val="sr-Latn-CS"/>
          <w14:textFill>
            <w14:solidFill>
              <w14:schemeClr w14:val="tx1"/>
            </w14:solidFill>
          </w14:textFill>
        </w:rPr>
        <w:t>Studenti treće godine koji su se u prethodnoj školskoj godini finansirali iz budžeta, ostaju u statusu budžetskih studenata (finansira se od strane države).</w:t>
      </w:r>
    </w:p>
    <w:p>
      <w:pPr>
        <w:spacing w:after="0"/>
        <w:jc w:val="both"/>
        <w:rPr>
          <w:lang w:val="sr-Latn-CS"/>
        </w:rPr>
      </w:pPr>
      <w:r>
        <w:rPr>
          <w:lang w:val="sr-Latn-CS"/>
        </w:rPr>
        <w:t>Studenti koji nisu stekli 60 ESPB-ECTS na prvoj godini, 60 ESPB-ECTS na drugoj godini, odnosno 60 ESPB-ECTS na trećoj godini, ponovo upisuju one predmete prve, druge i treće godine koje nisu položili i sami ih finansiraju (ne finansira se od strane države), osim 6 ili 12 ESPB-ECTS za Završni rad (na primer, ako je student sa prve godine ostvario 54 ESPB-ECTS, sa druge godine 54 ESPB-ECTS a sa treće godine 50 ESPB-ECTS, tada sa prve godine upisuje 60-54=6 ESPB-ECTS, sa druge godine 60-54=6 ESPB-ECTS, a sa treće godine 60-50- bodovi za završni rad). Nepoloženi obavezni predmeti prve, druge i treće godine obavezno se upisuju, dok se nepoloženi izborni predmeti druge i treće godine mogu ponovo upisati ili se umesto njih student može opredeliti za neki drugi izborni predmet (uslov izbora je da zbir ESPB-ECTS predmeta sa prve, druge i treće godine bude u skladu sa akreditovanim studijskim programom).</w:t>
      </w:r>
    </w:p>
    <w:p>
      <w:pPr>
        <w:spacing w:after="0"/>
        <w:rPr>
          <w:lang w:val="sr-Latn-CS"/>
        </w:rPr>
      </w:pPr>
      <w:r>
        <w:rPr>
          <w:lang w:val="sr-Latn-CS"/>
        </w:rPr>
        <w:t>Svi upisani predmeti, ponovo se slušaju u celosti, a u slučaju preklapanja u rasporedu, obaveze se odrađuju u dogovoru sa predmetnim nastavnikom.</w:t>
      </w:r>
    </w:p>
    <w:p>
      <w:pPr>
        <w:spacing w:before="0" w:after="0"/>
        <w:rPr>
          <w:b/>
          <w:lang w:val="sr-Latn-CS"/>
        </w:rPr>
      </w:pPr>
      <w:r>
        <w:rPr>
          <w:b/>
          <w:lang w:val="sr-Latn-CS"/>
        </w:rPr>
        <w:t>Troškovi upisa su sledeći:</w:t>
      </w:r>
    </w:p>
    <w:p>
      <w:pPr>
        <w:numPr>
          <w:ilvl w:val="0"/>
          <w:numId w:val="7"/>
        </w:numPr>
        <w:spacing w:before="0" w:after="0"/>
        <w:rPr>
          <w:lang w:val="sr-Latn-CS"/>
        </w:rPr>
      </w:pPr>
      <w:r>
        <w:rPr>
          <w:lang w:val="sr-Latn-CS"/>
        </w:rPr>
        <w:t>1</w:t>
      </w:r>
      <w:r>
        <w:rPr>
          <w:rFonts w:hint="default"/>
          <w:lang w:val="en-US"/>
        </w:rPr>
        <w:t>1</w:t>
      </w:r>
      <w:r>
        <w:rPr>
          <w:lang w:val="sr-Latn-CS"/>
        </w:rPr>
        <w:t>.</w:t>
      </w:r>
      <w:r>
        <w:rPr>
          <w:rFonts w:hint="default"/>
          <w:lang w:val="en-US"/>
        </w:rPr>
        <w:t>0</w:t>
      </w:r>
      <w:r>
        <w:rPr>
          <w:lang w:val="sr-Latn-CS"/>
        </w:rPr>
        <w:t>00.00 dinara na ime troškova upisa,</w:t>
      </w:r>
    </w:p>
    <w:p>
      <w:pPr>
        <w:numPr>
          <w:ilvl w:val="0"/>
          <w:numId w:val="7"/>
        </w:numPr>
        <w:spacing w:before="0" w:after="0"/>
        <w:rPr>
          <w:lang w:val="sr-Latn-CS"/>
        </w:rPr>
      </w:pPr>
      <w:r>
        <w:rPr>
          <w:lang w:val="sr-Latn-CS"/>
        </w:rPr>
        <w:t>Troškovi ponovo upisanih ESPB-ECTS iz prve, druge i treće godine studija</w:t>
      </w:r>
      <w:r>
        <w:rPr>
          <w:lang w:val="sr-Latn-CS"/>
        </w:rPr>
        <w:br w:type="textWrapping"/>
      </w:r>
      <w:r>
        <w:rPr>
          <w:lang w:val="sr-Latn-CS"/>
        </w:rPr>
        <w:t>Student uplaćuje onoliko ESPB-ECTS koliko je ponovo upisao umanjeno za troškove 6 ili 12 ESPB-ECTS (Završni rad)</w:t>
      </w:r>
    </w:p>
    <w:p>
      <w:pPr>
        <w:numPr>
          <w:ilvl w:val="1"/>
          <w:numId w:val="7"/>
        </w:numPr>
        <w:spacing w:before="0" w:after="0"/>
        <w:rPr>
          <w:lang w:val="sr-Latn-CS"/>
        </w:rPr>
      </w:pPr>
      <w:r>
        <w:rPr>
          <w:lang w:val="sr-Latn-CS"/>
        </w:rPr>
        <w:t>primer za uplatu u celosti: ako je student ponovo upisao 10 ESPB-ECTS, tada plaća 10*</w:t>
      </w:r>
      <w:r>
        <w:rPr>
          <w:lang w:val="en"/>
        </w:rPr>
        <w:t>1</w:t>
      </w:r>
      <w:r>
        <w:rPr>
          <w:lang w:val="sr-Latn-CS"/>
        </w:rPr>
        <w:t>.</w:t>
      </w:r>
      <w:r>
        <w:rPr>
          <w:rFonts w:hint="default"/>
          <w:lang w:val="en-US"/>
        </w:rPr>
        <w:t>625</w:t>
      </w:r>
      <w:r>
        <w:rPr>
          <w:lang w:val="en"/>
        </w:rPr>
        <w:t>,00</w:t>
      </w:r>
      <w:r>
        <w:rPr>
          <w:lang w:val="sr-Latn-CS"/>
        </w:rPr>
        <w:t>=1</w:t>
      </w:r>
      <w:r>
        <w:rPr>
          <w:rFonts w:hint="default"/>
          <w:lang w:val="en-US"/>
        </w:rPr>
        <w:t>6</w:t>
      </w:r>
      <w:r>
        <w:rPr>
          <w:lang w:val="en"/>
        </w:rPr>
        <w:t>.</w:t>
      </w:r>
      <w:r>
        <w:rPr>
          <w:rFonts w:hint="default"/>
          <w:lang w:val="en-US"/>
        </w:rPr>
        <w:t>2</w:t>
      </w:r>
      <w:r>
        <w:rPr>
          <w:lang w:val="en"/>
        </w:rPr>
        <w:t>50,</w:t>
      </w:r>
      <w:r>
        <w:rPr>
          <w:lang w:val="sr-Latn-CS"/>
        </w:rPr>
        <w:t>00 dinara (uplata u celosti prilikom upisa školske godine)</w:t>
      </w:r>
    </w:p>
    <w:p>
      <w:pPr>
        <w:numPr>
          <w:ilvl w:val="1"/>
          <w:numId w:val="7"/>
        </w:numPr>
        <w:spacing w:before="0" w:after="0"/>
        <w:rPr>
          <w:lang w:val="sr-Latn-CS"/>
        </w:rPr>
      </w:pPr>
      <w:r>
        <w:rPr>
          <w:lang w:val="sr-Latn-CS"/>
        </w:rPr>
        <w:t>primer za uplatu u dve rate: ako je student ponovo upisao 10 ESPB-ECTS, tada plaća 10*</w:t>
      </w:r>
      <w:r>
        <w:rPr>
          <w:lang w:val="en"/>
        </w:rPr>
        <w:t>1</w:t>
      </w:r>
      <w:r>
        <w:rPr>
          <w:lang w:val="sr-Latn-CS"/>
        </w:rPr>
        <w:t>.</w:t>
      </w:r>
      <w:r>
        <w:rPr>
          <w:rFonts w:hint="default"/>
          <w:lang w:val="en-US"/>
        </w:rPr>
        <w:t>905</w:t>
      </w:r>
      <w:r>
        <w:rPr>
          <w:lang w:val="en"/>
        </w:rPr>
        <w:t>,00</w:t>
      </w:r>
      <w:r>
        <w:rPr>
          <w:lang w:val="sr-Latn-CS"/>
        </w:rPr>
        <w:t>=</w:t>
      </w:r>
      <w:r>
        <w:rPr>
          <w:lang w:val="en"/>
        </w:rPr>
        <w:t>1</w:t>
      </w:r>
      <w:r>
        <w:rPr>
          <w:rFonts w:hint="default"/>
          <w:lang w:val="en-US"/>
        </w:rPr>
        <w:t>9</w:t>
      </w:r>
      <w:r>
        <w:rPr>
          <w:lang w:val="sr-Latn-CS"/>
        </w:rPr>
        <w:t>.</w:t>
      </w:r>
      <w:r>
        <w:rPr>
          <w:rFonts w:hint="default"/>
          <w:lang w:val="en-US"/>
        </w:rPr>
        <w:t>0</w:t>
      </w:r>
      <w:r>
        <w:rPr>
          <w:lang w:val="en"/>
        </w:rPr>
        <w:t>50,</w:t>
      </w:r>
      <w:r>
        <w:rPr>
          <w:lang w:val="sr-Latn-CS"/>
        </w:rPr>
        <w:t>00 dinara (uplata 50% iznosa prilikom upisa školske godine, odnosno uplata 50% iznosa prilikom evidencije zimskog semestra)</w:t>
      </w:r>
    </w:p>
    <w:p>
      <w:pPr>
        <w:spacing w:before="0" w:after="0"/>
        <w:rPr>
          <w:b/>
          <w:bCs/>
          <w:lang w:val="sr-Latn-CS"/>
        </w:rPr>
      </w:pPr>
      <w:r>
        <w:rPr>
          <w:lang w:val="sr-Latn-CS"/>
        </w:rPr>
        <w:t xml:space="preserve">što se zajedno uplaćuje na žiro račun broj: </w:t>
      </w:r>
      <w:r>
        <w:rPr>
          <w:rFonts w:hint="default" w:ascii="Times New Roman" w:hAnsi="Times New Roman" w:eastAsia="Times New Roman" w:cs="Times New Roman"/>
          <w:b/>
          <w:bCs/>
          <w:lang w:val="en-US" w:eastAsia="zh-CN" w:bidi="en-US"/>
        </w:rPr>
        <w:t>840-32811845-96</w:t>
      </w:r>
      <w:r>
        <w:rPr>
          <w:b/>
          <w:bCs/>
          <w:lang w:val="sr-Latn-CS"/>
        </w:rPr>
        <w:t>,</w:t>
      </w:r>
      <w:r>
        <w:rPr>
          <w:lang w:val="sr-Latn-CS"/>
        </w:rPr>
        <w:t xml:space="preserve"> po uputstvu iz EREF-a za „Troškovi upisnine i školarine“.</w:t>
      </w:r>
    </w:p>
    <w:p>
      <w:pPr>
        <w:spacing w:before="0" w:after="0" w:line="240" w:lineRule="auto"/>
        <w:ind w:firstLine="720"/>
        <w:rPr>
          <w:b/>
          <w:bCs/>
          <w:lang w:val="sr-Latn-CS"/>
        </w:rPr>
      </w:pPr>
      <w:r>
        <w:rPr>
          <w:b/>
          <w:bCs/>
          <w:lang w:val="sr-Latn-CS"/>
        </w:rPr>
        <w:br w:type="page"/>
      </w:r>
    </w:p>
    <w:p>
      <w:pPr>
        <w:pStyle w:val="3"/>
        <w:rPr>
          <w:b/>
          <w:bCs/>
          <w:lang w:val="sr-Latn-CS"/>
        </w:rPr>
      </w:pPr>
      <w:r>
        <w:rPr>
          <w:b/>
          <w:bCs/>
          <w:lang w:val="sr-Latn-CS"/>
        </w:rPr>
        <w:t>samofinansirajući studenti treće godine</w:t>
      </w:r>
    </w:p>
    <w:p>
      <w:pPr>
        <w:spacing w:before="0" w:after="0"/>
        <w:rPr>
          <w:b/>
          <w:bCs/>
          <w:color w:val="000000" w:themeColor="text1"/>
          <w:lang w:val="sr-Latn-CS"/>
          <w14:textFill>
            <w14:solidFill>
              <w14:schemeClr w14:val="tx1"/>
            </w14:solidFill>
          </w14:textFill>
        </w:rPr>
      </w:pPr>
      <w:r>
        <w:rPr>
          <w:b/>
          <w:bCs/>
          <w:color w:val="000000" w:themeColor="text1"/>
          <w:lang w:val="sr-Latn-CS"/>
          <w14:textFill>
            <w14:solidFill>
              <w14:schemeClr w14:val="tx1"/>
            </w14:solidFill>
          </w14:textFill>
        </w:rPr>
        <w:t>Studenti treće godine koji su se u prethodnoj školskoj godini sami finansirali, ostaju u statusu samofinansirajućih studenata.</w:t>
      </w:r>
    </w:p>
    <w:p>
      <w:pPr>
        <w:spacing w:after="0"/>
        <w:jc w:val="both"/>
        <w:rPr>
          <w:lang w:val="sr-Latn-CS"/>
        </w:rPr>
      </w:pPr>
      <w:r>
        <w:rPr>
          <w:lang w:val="sr-Latn-CS"/>
        </w:rPr>
        <w:t>Studenti koji nisu stekli 60 ESPB-ECTS na prvoj godini, 60 ESPB-ECTS na drugoj godini, odnosno 60 ESPB-ECTS na trećoj godini, ponovo upisuju one predmete prve, druge i treće godine koje nisu položili i sami ih finansiraju, osim 6 ili 12 ESPB-ECTS za Završni rad (na primer, ako je student sa prve godine ostvario 54 ESPB-ECTS, sa druge godine 54 ESPB-ECTS a sa treće godine 50 ESPB-ECTS, tada sa prve godine upisuje 60-54=6 ESPB-ECTS, sa druge godine 60-54=6 ESPB-ECTS, a sa treće godine 60-</w:t>
      </w:r>
      <w:r>
        <w:rPr>
          <w:lang w:val="en"/>
        </w:rPr>
        <w:t>48</w:t>
      </w:r>
      <w:r>
        <w:rPr>
          <w:lang w:val="sr-Latn-CS"/>
        </w:rPr>
        <w:t>- bodovi za završni rad). Nepoloženi obavezni predmeti prve, druge i treće godine obavezno se upisuju, dok se nepoloženi izborni predmeti druge i treće godine mogu ponovo upisati ili se umesto njih student može opredeliti za neki drugi izborni predmet (uslov izbora je da zbir ESPB-ECTS predmeta sa prve, druge i treće godine bude u skladu sa akreditovanim studijskim programom).</w:t>
      </w:r>
    </w:p>
    <w:p>
      <w:pPr>
        <w:spacing w:after="0"/>
        <w:jc w:val="both"/>
        <w:rPr>
          <w:lang w:val="sr-Latn-CS"/>
        </w:rPr>
      </w:pPr>
      <w:r>
        <w:rPr>
          <w:lang w:val="sr-Latn-CS"/>
        </w:rPr>
        <w:t>Svi upisani predmeti, ponovo se slušaju u celosti, a u slučaju preklapanja u rasporedu, obaveze se odrađuju u dogovoru sa predmetnim nastavnikom.</w:t>
      </w:r>
    </w:p>
    <w:p>
      <w:pPr>
        <w:spacing w:before="0" w:after="0"/>
        <w:rPr>
          <w:b/>
          <w:lang w:val="sr-Latn-CS"/>
        </w:rPr>
      </w:pPr>
      <w:r>
        <w:rPr>
          <w:b/>
          <w:lang w:val="sr-Latn-CS"/>
        </w:rPr>
        <w:t>Troškovi upisa su sledeći:</w:t>
      </w:r>
    </w:p>
    <w:p>
      <w:pPr>
        <w:numPr>
          <w:ilvl w:val="0"/>
          <w:numId w:val="8"/>
        </w:numPr>
        <w:spacing w:before="0" w:after="0"/>
        <w:rPr>
          <w:lang w:val="sr-Latn-CS"/>
        </w:rPr>
      </w:pPr>
      <w:r>
        <w:rPr>
          <w:lang w:val="sr-Latn-CS"/>
        </w:rPr>
        <w:t>1</w:t>
      </w:r>
      <w:r>
        <w:rPr>
          <w:rFonts w:hint="default"/>
          <w:lang w:val="en-US"/>
        </w:rPr>
        <w:t>1</w:t>
      </w:r>
      <w:r>
        <w:rPr>
          <w:lang w:val="sr-Latn-CS"/>
        </w:rPr>
        <w:t>.</w:t>
      </w:r>
      <w:r>
        <w:rPr>
          <w:rFonts w:hint="default"/>
          <w:lang w:val="en-US"/>
        </w:rPr>
        <w:t>0</w:t>
      </w:r>
      <w:r>
        <w:rPr>
          <w:lang w:val="sr-Latn-CS"/>
        </w:rPr>
        <w:t>00.00 dinara na ime troškova upisa,</w:t>
      </w:r>
    </w:p>
    <w:p>
      <w:pPr>
        <w:numPr>
          <w:ilvl w:val="0"/>
          <w:numId w:val="8"/>
        </w:numPr>
        <w:spacing w:before="0" w:after="0"/>
        <w:rPr>
          <w:lang w:val="sr-Latn-CS"/>
        </w:rPr>
      </w:pPr>
      <w:r>
        <w:rPr>
          <w:lang w:val="sr-Latn-CS"/>
        </w:rPr>
        <w:t>Troškovi ponovo upisanih ESPB-ECTS iz prve, druge i treće godine studija</w:t>
      </w:r>
      <w:r>
        <w:rPr>
          <w:lang w:val="sr-Latn-CS"/>
        </w:rPr>
        <w:br w:type="textWrapping"/>
      </w:r>
      <w:r>
        <w:rPr>
          <w:lang w:val="sr-Latn-CS"/>
        </w:rPr>
        <w:t>Student uplaćuje onoliko ESPB-ECTS koliko je ponovo upisao umanjeno za troškove 6 ili 12 ESPB-ECTS (Završni rad)</w:t>
      </w:r>
    </w:p>
    <w:p>
      <w:pPr>
        <w:numPr>
          <w:ilvl w:val="1"/>
          <w:numId w:val="8"/>
        </w:numPr>
        <w:spacing w:before="0" w:after="0"/>
        <w:rPr>
          <w:lang w:val="sr-Latn-CS"/>
        </w:rPr>
      </w:pPr>
      <w:r>
        <w:rPr>
          <w:lang w:val="sr-Latn-CS"/>
        </w:rPr>
        <w:t>primer za uplatu u celosti: ako je student ponovo upisao 10 ESPB-ECTS, tada plaća 10*</w:t>
      </w:r>
      <w:r>
        <w:rPr>
          <w:lang w:val="en"/>
        </w:rPr>
        <w:t>1</w:t>
      </w:r>
      <w:r>
        <w:rPr>
          <w:lang w:val="sr-Latn-CS"/>
        </w:rPr>
        <w:t>.</w:t>
      </w:r>
      <w:r>
        <w:rPr>
          <w:rFonts w:hint="default"/>
          <w:lang w:val="en-US"/>
        </w:rPr>
        <w:t>625</w:t>
      </w:r>
      <w:r>
        <w:rPr>
          <w:lang w:val="en"/>
        </w:rPr>
        <w:t>,00</w:t>
      </w:r>
      <w:r>
        <w:rPr>
          <w:lang w:val="sr-Latn-CS"/>
        </w:rPr>
        <w:t>=1</w:t>
      </w:r>
      <w:r>
        <w:rPr>
          <w:rFonts w:hint="default"/>
          <w:lang w:val="en-US"/>
        </w:rPr>
        <w:t>6</w:t>
      </w:r>
      <w:r>
        <w:rPr>
          <w:lang w:val="en"/>
        </w:rPr>
        <w:t>.</w:t>
      </w:r>
      <w:r>
        <w:rPr>
          <w:rFonts w:hint="default"/>
          <w:lang w:val="en-US"/>
        </w:rPr>
        <w:t>2</w:t>
      </w:r>
      <w:r>
        <w:rPr>
          <w:lang w:val="en"/>
        </w:rPr>
        <w:t>50,</w:t>
      </w:r>
      <w:r>
        <w:rPr>
          <w:lang w:val="sr-Latn-CS"/>
        </w:rPr>
        <w:t>00 dinara (uplata u celosti prilikom upisa školske godine)</w:t>
      </w:r>
    </w:p>
    <w:p>
      <w:pPr>
        <w:numPr>
          <w:ilvl w:val="1"/>
          <w:numId w:val="8"/>
        </w:numPr>
        <w:spacing w:before="0" w:after="0"/>
        <w:rPr>
          <w:lang w:val="sr-Latn-CS"/>
        </w:rPr>
      </w:pPr>
      <w:r>
        <w:rPr>
          <w:lang w:val="sr-Latn-CS"/>
        </w:rPr>
        <w:t>primer za uplatu u dve rate: ako je student ponovo upisao 10 ESPB-ECTS, tada plaća 10*</w:t>
      </w:r>
      <w:r>
        <w:rPr>
          <w:lang w:val="en"/>
        </w:rPr>
        <w:t>1</w:t>
      </w:r>
      <w:r>
        <w:rPr>
          <w:lang w:val="sr-Latn-CS"/>
        </w:rPr>
        <w:t>.</w:t>
      </w:r>
      <w:r>
        <w:rPr>
          <w:rFonts w:hint="default"/>
          <w:lang w:val="en-US"/>
        </w:rPr>
        <w:t>905</w:t>
      </w:r>
      <w:r>
        <w:rPr>
          <w:lang w:val="en"/>
        </w:rPr>
        <w:t>,00</w:t>
      </w:r>
      <w:r>
        <w:rPr>
          <w:lang w:val="sr-Latn-CS"/>
        </w:rPr>
        <w:t>=</w:t>
      </w:r>
      <w:r>
        <w:rPr>
          <w:lang w:val="en"/>
        </w:rPr>
        <w:t>1</w:t>
      </w:r>
      <w:r>
        <w:rPr>
          <w:rFonts w:hint="default"/>
          <w:lang w:val="en-US"/>
        </w:rPr>
        <w:t>9</w:t>
      </w:r>
      <w:r>
        <w:rPr>
          <w:lang w:val="sr-Latn-CS"/>
        </w:rPr>
        <w:t>.</w:t>
      </w:r>
      <w:r>
        <w:rPr>
          <w:rFonts w:hint="default"/>
          <w:lang w:val="en-US"/>
        </w:rPr>
        <w:t>0</w:t>
      </w:r>
      <w:r>
        <w:rPr>
          <w:lang w:val="en"/>
        </w:rPr>
        <w:t>50,</w:t>
      </w:r>
      <w:r>
        <w:rPr>
          <w:lang w:val="sr-Latn-CS"/>
        </w:rPr>
        <w:t>00 dinara (uplata 50% iznosa prilikom upisa školske godine, odnosno uplata 50% iznosa prilikom evidencije zimskog semestra)</w:t>
      </w:r>
    </w:p>
    <w:p>
      <w:pPr>
        <w:spacing w:before="0" w:after="0"/>
        <w:rPr>
          <w:b/>
          <w:bCs/>
          <w:lang w:val="sr-Latn-CS"/>
        </w:rPr>
      </w:pPr>
      <w:r>
        <w:rPr>
          <w:lang w:val="sr-Latn-CS"/>
        </w:rPr>
        <w:t xml:space="preserve">što se zajedno uplaćuje na žiro račun broj: </w:t>
      </w:r>
      <w:r>
        <w:rPr>
          <w:rFonts w:hint="default" w:ascii="Times New Roman" w:hAnsi="Times New Roman" w:eastAsia="Times New Roman" w:cs="Times New Roman"/>
          <w:b/>
          <w:bCs/>
          <w:lang w:val="en-US" w:eastAsia="zh-CN" w:bidi="en-US"/>
        </w:rPr>
        <w:t>840-32811845-96</w:t>
      </w:r>
      <w:r>
        <w:rPr>
          <w:b/>
          <w:bCs/>
          <w:lang w:val="sr-Latn-CS"/>
        </w:rPr>
        <w:t>,</w:t>
      </w:r>
      <w:r>
        <w:rPr>
          <w:lang w:val="sr-Latn-CS"/>
        </w:rPr>
        <w:t xml:space="preserve"> po uputstvu iz EREF-a za „Troškovi upisnine i školarine“.</w:t>
      </w:r>
    </w:p>
    <w:p>
      <w:pPr>
        <w:spacing w:before="0" w:after="0" w:line="240" w:lineRule="auto"/>
        <w:rPr>
          <w:lang w:val="sr-Latn-CS"/>
        </w:rPr>
      </w:pP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440" w:bottom="1440" w:left="1440"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swiss"/>
    <w:pitch w:val="default"/>
    <w:sig w:usb0="00007A87" w:usb1="80000000" w:usb2="00000008" w:usb3="00000000" w:csb0="400001FF" w:csb1="FFFF0000"/>
  </w:font>
  <w:font w:name="黑体">
    <w:altName w:val="Arial Unicode MS"/>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0"/>
    <w:family w:val="auto"/>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SimSun">
    <w:altName w:val="Arial Unicode MS"/>
    <w:panose1 w:val="02010600030101010101"/>
    <w:charset w:val="86"/>
    <w:family w:val="auto"/>
    <w:pitch w:val="default"/>
    <w:sig w:usb0="00000000" w:usb1="00000000" w:usb2="00000016" w:usb3="00000000" w:csb0="00040001" w:csb1="00000000"/>
  </w:font>
  <w:font w:name="Tahoma">
    <w:panose1 w:val="020B0604030504040204"/>
    <w:charset w:val="00"/>
    <w:family w:val="swiss"/>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9026" w:type="dxa"/>
      <w:tblInd w:w="0" w:type="dxa"/>
      <w:tblBorders>
        <w:top w:val="none" w:color="auto" w:sz="0" w:space="0"/>
        <w:left w:val="none" w:color="auto" w:sz="0" w:space="0"/>
        <w:bottom w:val="none" w:color="auto" w:sz="0" w:space="0"/>
        <w:right w:val="none" w:color="auto" w:sz="0" w:space="0"/>
        <w:insideH w:val="none" w:color="auto" w:sz="0" w:space="0"/>
        <w:insideV w:val="single" w:color="4F81BD" w:sz="18" w:space="0"/>
      </w:tblBorders>
      <w:tblLayout w:type="fixed"/>
      <w:tblCellMar>
        <w:top w:w="58" w:type="dxa"/>
        <w:left w:w="115" w:type="dxa"/>
        <w:bottom w:w="58" w:type="dxa"/>
        <w:right w:w="115" w:type="dxa"/>
      </w:tblCellMar>
    </w:tblPr>
    <w:tblGrid>
      <w:gridCol w:w="1354"/>
      <w:gridCol w:w="7672"/>
    </w:tblGrid>
    <w:tr>
      <w:tblPrEx>
        <w:tblBorders>
          <w:top w:val="none" w:color="auto" w:sz="0" w:space="0"/>
          <w:left w:val="none" w:color="auto" w:sz="0" w:space="0"/>
          <w:bottom w:val="none" w:color="auto" w:sz="0" w:space="0"/>
          <w:right w:val="none" w:color="auto" w:sz="0" w:space="0"/>
          <w:insideH w:val="none" w:color="auto" w:sz="0" w:space="0"/>
          <w:insideV w:val="single" w:color="4F81BD" w:sz="18" w:space="0"/>
        </w:tblBorders>
        <w:tblCellMar>
          <w:top w:w="58" w:type="dxa"/>
          <w:left w:w="115" w:type="dxa"/>
          <w:bottom w:w="58" w:type="dxa"/>
          <w:right w:w="115" w:type="dxa"/>
        </w:tblCellMar>
      </w:tblPrEx>
      <w:tc>
        <w:tcPr>
          <w:tcW w:w="1354" w:type="dxa"/>
          <w:tcBorders>
            <w:right w:val="single" w:color="auto" w:sz="12" w:space="0"/>
          </w:tcBorders>
        </w:tcPr>
        <w:p>
          <w:pPr>
            <w:pStyle w:val="20"/>
            <w:jc w:val="right"/>
            <w:rPr>
              <w:sz w:val="20"/>
              <w:szCs w:val="20"/>
              <w:lang w:val="en-US" w:eastAsia="en-US" w:bidi="en-US"/>
            </w:rPr>
          </w:pPr>
          <w:r>
            <w:rPr>
              <w:sz w:val="20"/>
              <w:szCs w:val="20"/>
              <w:lang w:val="en-US" w:eastAsia="en-US" w:bidi="en-US"/>
            </w:rPr>
            <w:fldChar w:fldCharType="begin"/>
          </w:r>
          <w:r>
            <w:rPr>
              <w:sz w:val="20"/>
              <w:szCs w:val="20"/>
              <w:lang w:val="en-US" w:eastAsia="en-US" w:bidi="en-US"/>
            </w:rPr>
            <w:instrText xml:space="preserve"> PAGE   \* MERGEFORMAT </w:instrText>
          </w:r>
          <w:r>
            <w:rPr>
              <w:sz w:val="20"/>
              <w:szCs w:val="20"/>
              <w:lang w:val="en-US" w:eastAsia="en-US" w:bidi="en-US"/>
            </w:rPr>
            <w:fldChar w:fldCharType="separate"/>
          </w:r>
          <w:r>
            <w:rPr>
              <w:sz w:val="20"/>
              <w:szCs w:val="20"/>
              <w:lang w:val="en-US" w:eastAsia="en-US" w:bidi="en-US"/>
            </w:rPr>
            <w:t>4</w:t>
          </w:r>
          <w:r>
            <w:rPr>
              <w:sz w:val="20"/>
              <w:szCs w:val="20"/>
              <w:lang w:val="en-US" w:eastAsia="en-US" w:bidi="en-US"/>
            </w:rPr>
            <w:fldChar w:fldCharType="end"/>
          </w:r>
          <w:r>
            <w:rPr>
              <w:sz w:val="20"/>
              <w:szCs w:val="20"/>
              <w:lang w:val="en-US" w:eastAsia="en-US" w:bidi="en-US"/>
            </w:rPr>
            <w:t>/</w:t>
          </w:r>
          <w:r>
            <w:rPr>
              <w:sz w:val="20"/>
              <w:szCs w:val="20"/>
              <w:lang w:val="en-US" w:eastAsia="en-US" w:bidi="en-US"/>
            </w:rPr>
            <w:fldChar w:fldCharType="begin"/>
          </w:r>
          <w:r>
            <w:rPr>
              <w:sz w:val="20"/>
              <w:szCs w:val="20"/>
              <w:lang w:val="en-US" w:eastAsia="en-US" w:bidi="en-US"/>
            </w:rPr>
            <w:instrText xml:space="preserve"> NUMPAGES  \* Arabic  \* MERGEFORMAT </w:instrText>
          </w:r>
          <w:r>
            <w:rPr>
              <w:sz w:val="20"/>
              <w:szCs w:val="20"/>
              <w:lang w:val="en-US" w:eastAsia="en-US" w:bidi="en-US"/>
            </w:rPr>
            <w:fldChar w:fldCharType="separate"/>
          </w:r>
          <w:r>
            <w:rPr>
              <w:sz w:val="20"/>
              <w:szCs w:val="20"/>
              <w:lang w:val="en-US" w:eastAsia="en-US" w:bidi="en-US"/>
            </w:rPr>
            <w:t>9</w:t>
          </w:r>
          <w:r>
            <w:rPr>
              <w:sz w:val="20"/>
              <w:szCs w:val="20"/>
              <w:lang w:val="en-US" w:eastAsia="en-US" w:bidi="en-US"/>
            </w:rPr>
            <w:fldChar w:fldCharType="end"/>
          </w:r>
        </w:p>
      </w:tc>
      <w:tc>
        <w:tcPr>
          <w:tcW w:w="7672" w:type="dxa"/>
          <w:tcBorders>
            <w:left w:val="single" w:color="auto" w:sz="12" w:space="0"/>
          </w:tcBorders>
        </w:tcPr>
        <w:p>
          <w:pPr>
            <w:pStyle w:val="20"/>
            <w:jc w:val="right"/>
            <w:rPr>
              <w:sz w:val="20"/>
              <w:szCs w:val="20"/>
              <w:lang w:val="en-US" w:eastAsia="en-US" w:bidi="en-US"/>
            </w:rPr>
          </w:pPr>
        </w:p>
      </w:tc>
    </w:tr>
  </w:tbl>
  <w:p>
    <w:pPr>
      <w:pStyle w:val="2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9026" w:type="dxa"/>
      <w:tblInd w:w="0" w:type="dxa"/>
      <w:tblBorders>
        <w:top w:val="none" w:color="auto" w:sz="0" w:space="0"/>
        <w:left w:val="none" w:color="auto" w:sz="0" w:space="0"/>
        <w:bottom w:val="none" w:color="auto" w:sz="0" w:space="0"/>
        <w:right w:val="none" w:color="auto" w:sz="0" w:space="0"/>
        <w:insideH w:val="none" w:color="auto" w:sz="0" w:space="0"/>
        <w:insideV w:val="single" w:color="4F81BD" w:sz="18" w:space="0"/>
      </w:tblBorders>
      <w:tblLayout w:type="fixed"/>
      <w:tblCellMar>
        <w:top w:w="58" w:type="dxa"/>
        <w:left w:w="115" w:type="dxa"/>
        <w:bottom w:w="58" w:type="dxa"/>
        <w:right w:w="115" w:type="dxa"/>
      </w:tblCellMar>
    </w:tblPr>
    <w:tblGrid>
      <w:gridCol w:w="1354"/>
      <w:gridCol w:w="7672"/>
    </w:tblGrid>
    <w:tr>
      <w:tblPrEx>
        <w:tblBorders>
          <w:top w:val="none" w:color="auto" w:sz="0" w:space="0"/>
          <w:left w:val="none" w:color="auto" w:sz="0" w:space="0"/>
          <w:bottom w:val="none" w:color="auto" w:sz="0" w:space="0"/>
          <w:right w:val="none" w:color="auto" w:sz="0" w:space="0"/>
          <w:insideH w:val="none" w:color="auto" w:sz="0" w:space="0"/>
          <w:insideV w:val="single" w:color="4F81BD" w:sz="18" w:space="0"/>
        </w:tblBorders>
        <w:tblCellMar>
          <w:top w:w="58" w:type="dxa"/>
          <w:left w:w="115" w:type="dxa"/>
          <w:bottom w:w="58" w:type="dxa"/>
          <w:right w:w="115" w:type="dxa"/>
        </w:tblCellMar>
      </w:tblPrEx>
      <w:tc>
        <w:tcPr>
          <w:tcW w:w="1354" w:type="dxa"/>
          <w:tcBorders>
            <w:right w:val="single" w:color="auto" w:sz="12" w:space="0"/>
          </w:tcBorders>
        </w:tcPr>
        <w:p>
          <w:pPr>
            <w:pStyle w:val="20"/>
            <w:jc w:val="right"/>
            <w:rPr>
              <w:sz w:val="20"/>
              <w:szCs w:val="20"/>
              <w:lang w:val="en-US" w:eastAsia="en-US" w:bidi="en-US"/>
            </w:rPr>
          </w:pPr>
          <w:r>
            <w:rPr>
              <w:sz w:val="20"/>
              <w:szCs w:val="20"/>
              <w:lang w:val="en-US" w:eastAsia="en-US" w:bidi="en-US"/>
            </w:rPr>
            <w:fldChar w:fldCharType="begin"/>
          </w:r>
          <w:r>
            <w:rPr>
              <w:sz w:val="20"/>
              <w:szCs w:val="20"/>
              <w:lang w:val="en-US" w:eastAsia="en-US" w:bidi="en-US"/>
            </w:rPr>
            <w:instrText xml:space="preserve"> PAGE   \* MERGEFORMAT </w:instrText>
          </w:r>
          <w:r>
            <w:rPr>
              <w:sz w:val="20"/>
              <w:szCs w:val="20"/>
              <w:lang w:val="en-US" w:eastAsia="en-US" w:bidi="en-US"/>
            </w:rPr>
            <w:fldChar w:fldCharType="separate"/>
          </w:r>
          <w:r>
            <w:rPr>
              <w:sz w:val="20"/>
              <w:szCs w:val="20"/>
              <w:lang w:val="en-US" w:eastAsia="en-US" w:bidi="en-US"/>
            </w:rPr>
            <w:t>1</w:t>
          </w:r>
          <w:r>
            <w:rPr>
              <w:sz w:val="20"/>
              <w:szCs w:val="20"/>
              <w:lang w:val="en-US" w:eastAsia="en-US" w:bidi="en-US"/>
            </w:rPr>
            <w:fldChar w:fldCharType="end"/>
          </w:r>
          <w:r>
            <w:rPr>
              <w:sz w:val="20"/>
              <w:szCs w:val="20"/>
              <w:lang w:val="en-US" w:eastAsia="en-US" w:bidi="en-US"/>
            </w:rPr>
            <w:t>/</w:t>
          </w:r>
          <w:r>
            <w:rPr>
              <w:sz w:val="20"/>
              <w:szCs w:val="20"/>
              <w:lang w:val="en-US" w:eastAsia="en-US" w:bidi="en-US"/>
            </w:rPr>
            <w:fldChar w:fldCharType="begin"/>
          </w:r>
          <w:r>
            <w:rPr>
              <w:sz w:val="20"/>
              <w:szCs w:val="20"/>
              <w:lang w:val="en-US" w:eastAsia="en-US" w:bidi="en-US"/>
            </w:rPr>
            <w:instrText xml:space="preserve"> NUMPAGES  \* Arabic  \* MERGEFORMAT </w:instrText>
          </w:r>
          <w:r>
            <w:rPr>
              <w:sz w:val="20"/>
              <w:szCs w:val="20"/>
              <w:lang w:val="en-US" w:eastAsia="en-US" w:bidi="en-US"/>
            </w:rPr>
            <w:fldChar w:fldCharType="separate"/>
          </w:r>
          <w:r>
            <w:rPr>
              <w:sz w:val="20"/>
              <w:szCs w:val="20"/>
              <w:lang w:val="en-US" w:eastAsia="en-US" w:bidi="en-US"/>
            </w:rPr>
            <w:t>9</w:t>
          </w:r>
          <w:r>
            <w:rPr>
              <w:sz w:val="20"/>
              <w:szCs w:val="20"/>
              <w:lang w:val="en-US" w:eastAsia="en-US" w:bidi="en-US"/>
            </w:rPr>
            <w:fldChar w:fldCharType="end"/>
          </w:r>
        </w:p>
      </w:tc>
      <w:tc>
        <w:tcPr>
          <w:tcW w:w="7672" w:type="dxa"/>
          <w:tcBorders>
            <w:left w:val="single" w:color="auto" w:sz="12" w:space="0"/>
          </w:tcBorders>
        </w:tcPr>
        <w:p>
          <w:pPr>
            <w:pStyle w:val="20"/>
            <w:jc w:val="right"/>
            <w:rPr>
              <w:sz w:val="20"/>
              <w:szCs w:val="20"/>
              <w:lang w:val="en-US" w:eastAsia="en-US" w:bidi="en-US"/>
            </w:rPr>
          </w:pPr>
        </w:p>
      </w:tc>
    </w:tr>
  </w:tbl>
  <w:p>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8698" w:type="dxa"/>
      <w:tblInd w:w="0" w:type="dxa"/>
      <w:tblBorders>
        <w:top w:val="single" w:color="FFDC00" w:sz="36" w:space="0"/>
        <w:left w:val="single" w:color="FFDC00" w:sz="36"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49"/>
      <w:gridCol w:w="2174"/>
      <w:gridCol w:w="2175"/>
    </w:tblGrid>
    <w:tr>
      <w:tblPrEx>
        <w:tblBorders>
          <w:top w:val="single" w:color="FFDC00" w:sz="36" w:space="0"/>
          <w:left w:val="single" w:color="FFDC00" w:sz="3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4349" w:type="dxa"/>
          <w:tcBorders>
            <w:top w:val="single" w:color="auto" w:sz="36" w:space="0"/>
            <w:left w:val="single" w:color="auto" w:sz="36" w:space="0"/>
          </w:tcBorders>
          <w:tcMar>
            <w:left w:w="28" w:type="dxa"/>
            <w:right w:w="28" w:type="dxa"/>
          </w:tcMar>
          <w:vAlign w:val="center"/>
        </w:tcPr>
        <w:p>
          <w:pPr>
            <w:spacing w:before="0" w:after="0" w:line="240" w:lineRule="auto"/>
            <w:jc w:val="center"/>
            <w:rPr>
              <w:b/>
              <w:lang w:val="sr-Latn-RS"/>
            </w:rPr>
          </w:pPr>
          <w:r>
            <w:rPr>
              <w:lang w:val="sr-Latn-RS" w:eastAsia="hu-HU" w:bidi="ar-SA"/>
            </w:rPr>
            <w:drawing>
              <wp:inline distT="0" distB="0" distL="0" distR="0">
                <wp:extent cx="770255" cy="424815"/>
                <wp:effectExtent l="0" t="0" r="0" b="0"/>
                <wp:docPr id="6" name="Picture 6" descr="vts plavo 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vts plavo gif"/>
                        <pic:cNvPicPr>
                          <a:picLocks noChangeAspect="1" noChangeArrowheads="1"/>
                        </pic:cNvPicPr>
                      </pic:nvPicPr>
                      <pic:blipFill>
                        <a:blip r:embed="rId1">
                          <a:biLevel thresh="50000"/>
                          <a:grayscl/>
                          <a:extLst>
                            <a:ext uri="{28A0092B-C50C-407E-A947-70E740481C1C}">
                              <a14:useLocalDpi xmlns:a14="http://schemas.microsoft.com/office/drawing/2010/main" val="0"/>
                            </a:ext>
                          </a:extLst>
                        </a:blip>
                        <a:srcRect b="20876"/>
                        <a:stretch>
                          <a:fillRect/>
                        </a:stretch>
                      </pic:blipFill>
                      <pic:spPr>
                        <a:xfrm>
                          <a:off x="0" y="0"/>
                          <a:ext cx="770255" cy="424815"/>
                        </a:xfrm>
                        <a:prstGeom prst="rect">
                          <a:avLst/>
                        </a:prstGeom>
                        <a:noFill/>
                        <a:ln>
                          <a:noFill/>
                        </a:ln>
                      </pic:spPr>
                    </pic:pic>
                  </a:graphicData>
                </a:graphic>
              </wp:inline>
            </w:drawing>
          </w:r>
        </w:p>
      </w:tc>
      <w:tc>
        <w:tcPr>
          <w:tcW w:w="2174" w:type="dxa"/>
          <w:tcBorders>
            <w:top w:val="single" w:color="auto" w:sz="36" w:space="0"/>
          </w:tcBorders>
          <w:vAlign w:val="center"/>
        </w:tcPr>
        <w:p>
          <w:pPr>
            <w:spacing w:before="0" w:after="0" w:line="240" w:lineRule="auto"/>
            <w:jc w:val="center"/>
            <w:rPr>
              <w:lang w:val="sr-Latn-RS"/>
            </w:rPr>
          </w:pPr>
        </w:p>
      </w:tc>
      <w:tc>
        <w:tcPr>
          <w:tcW w:w="2175" w:type="dxa"/>
          <w:tcBorders>
            <w:top w:val="single" w:color="auto" w:sz="36" w:space="0"/>
          </w:tcBorders>
          <w:vAlign w:val="center"/>
        </w:tcPr>
        <w:p>
          <w:pPr>
            <w:spacing w:before="0" w:after="0" w:line="240" w:lineRule="auto"/>
            <w:jc w:val="center"/>
            <w:rPr>
              <w:lang w:val="sr-Latn-RS"/>
            </w:rPr>
          </w:pPr>
        </w:p>
      </w:tc>
    </w:tr>
    <w:tr>
      <w:tblPrEx>
        <w:tblBorders>
          <w:top w:val="single" w:color="FFDC00" w:sz="36" w:space="0"/>
          <w:left w:val="single" w:color="FFDC00" w:sz="3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4349" w:type="dxa"/>
          <w:tcBorders>
            <w:left w:val="single" w:color="auto" w:sz="36" w:space="0"/>
          </w:tcBorders>
          <w:tcMar>
            <w:left w:w="28" w:type="dxa"/>
            <w:right w:w="28" w:type="dxa"/>
          </w:tcMar>
          <w:vAlign w:val="center"/>
        </w:tcPr>
        <w:p>
          <w:pPr>
            <w:spacing w:before="0" w:after="0" w:line="240" w:lineRule="auto"/>
            <w:jc w:val="center"/>
            <w:rPr>
              <w:sz w:val="16"/>
              <w:szCs w:val="16"/>
              <w:lang w:val="sr-Latn-RS"/>
            </w:rPr>
          </w:pPr>
          <w:r>
            <w:rPr>
              <w:b/>
              <w:sz w:val="16"/>
              <w:szCs w:val="16"/>
              <w:lang w:val="sr-Latn-RS"/>
            </w:rPr>
            <w:t>VISOKA TEHNIČKA ŠKOLA STRUKOVNIH STUDIJA U SUBOTICI</w:t>
          </w:r>
          <w:r>
            <w:rPr>
              <w:b/>
              <w:sz w:val="16"/>
              <w:szCs w:val="16"/>
              <w:lang w:val="sr-Latn-RS"/>
            </w:rPr>
            <w:br w:type="textWrapping"/>
          </w:r>
          <w:r>
            <w:rPr>
              <w:b/>
              <w:sz w:val="16"/>
              <w:szCs w:val="16"/>
              <w:lang w:val="sr-Latn-RS"/>
            </w:rPr>
            <w:t>SZABADKAI MŰSZAKI SZAKFŐISKOLA, SZABADKA</w:t>
          </w:r>
          <w:r>
            <w:rPr>
              <w:b/>
              <w:sz w:val="16"/>
              <w:szCs w:val="16"/>
              <w:lang w:val="sr-Latn-RS"/>
            </w:rPr>
            <w:br w:type="textWrapping"/>
          </w:r>
          <w:r>
            <w:rPr>
              <w:b/>
              <w:sz w:val="16"/>
              <w:szCs w:val="16"/>
              <w:lang w:val="sr-Latn-RS"/>
            </w:rPr>
            <w:t>SUBOTICA TECH – COLLEGE OF APPLIED SCIENCES</w:t>
          </w:r>
        </w:p>
      </w:tc>
      <w:tc>
        <w:tcPr>
          <w:tcW w:w="2174" w:type="dxa"/>
          <w:vAlign w:val="center"/>
        </w:tcPr>
        <w:p>
          <w:pPr>
            <w:spacing w:before="0" w:after="0" w:line="240" w:lineRule="auto"/>
            <w:jc w:val="center"/>
            <w:rPr>
              <w:lang w:val="sr-Latn-RS"/>
            </w:rPr>
          </w:pPr>
        </w:p>
      </w:tc>
      <w:tc>
        <w:tcPr>
          <w:tcW w:w="2175" w:type="dxa"/>
          <w:vAlign w:val="center"/>
        </w:tcPr>
        <w:p>
          <w:pPr>
            <w:spacing w:before="0" w:after="0" w:line="240" w:lineRule="auto"/>
            <w:jc w:val="center"/>
            <w:rPr>
              <w:lang w:val="sr-Latn-RS"/>
            </w:rPr>
          </w:pPr>
        </w:p>
      </w:tc>
    </w:tr>
    <w:tr>
      <w:tblPrEx>
        <w:tblBorders>
          <w:top w:val="single" w:color="FFDC00" w:sz="36" w:space="0"/>
          <w:left w:val="single" w:color="FFDC00" w:sz="3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4349" w:type="dxa"/>
          <w:tcBorders>
            <w:left w:val="single" w:color="auto" w:sz="36" w:space="0"/>
          </w:tcBorders>
          <w:tcMar>
            <w:left w:w="28" w:type="dxa"/>
            <w:right w:w="28" w:type="dxa"/>
          </w:tcMar>
          <w:vAlign w:val="center"/>
        </w:tcPr>
        <w:p>
          <w:pPr>
            <w:spacing w:before="0" w:after="0" w:line="240" w:lineRule="auto"/>
            <w:jc w:val="center"/>
            <w:rPr>
              <w:b/>
              <w:sz w:val="16"/>
              <w:szCs w:val="16"/>
              <w:lang w:val="sr-Cyrl-RS"/>
            </w:rPr>
          </w:pPr>
          <w:r>
            <w:rPr>
              <w:sz w:val="16"/>
              <w:szCs w:val="16"/>
              <w:lang w:val="sr-Latn-RS"/>
            </w:rPr>
            <w:t>MARKA OREŠKOVIĆA 16, 24000 SUBOTICA, SRBI</w:t>
          </w:r>
          <w:r>
            <w:rPr>
              <w:sz w:val="16"/>
              <w:szCs w:val="16"/>
              <w:lang w:val="sr-Cyrl-RS"/>
            </w:rPr>
            <w:t>Ј</w:t>
          </w:r>
          <w:r>
            <w:rPr>
              <w:sz w:val="16"/>
              <w:szCs w:val="16"/>
              <w:lang w:val="sr-Latn-RS"/>
            </w:rPr>
            <w:t>A</w:t>
          </w:r>
          <w:r>
            <w:rPr>
              <w:sz w:val="16"/>
              <w:szCs w:val="16"/>
              <w:lang w:val="sr-Latn-RS"/>
            </w:rPr>
            <w:br w:type="textWrapping"/>
          </w:r>
          <w:r>
            <w:fldChar w:fldCharType="begin"/>
          </w:r>
          <w:r>
            <w:instrText xml:space="preserve"> HYPERLINK "http://www.vts.su.ac.rs" </w:instrText>
          </w:r>
          <w:r>
            <w:fldChar w:fldCharType="separate"/>
          </w:r>
          <w:r>
            <w:rPr>
              <w:sz w:val="16"/>
              <w:szCs w:val="16"/>
              <w:lang w:val="sr-Latn-RS"/>
            </w:rPr>
            <w:t>www.vts.su.ac.rs</w:t>
          </w:r>
          <w:r>
            <w:rPr>
              <w:sz w:val="16"/>
              <w:szCs w:val="16"/>
              <w:lang w:val="sr-Latn-RS"/>
            </w:rPr>
            <w:fldChar w:fldCharType="end"/>
          </w:r>
          <w:r>
            <w:rPr>
              <w:sz w:val="16"/>
              <w:szCs w:val="16"/>
              <w:lang w:val="sr-Latn-RS"/>
            </w:rPr>
            <w:br w:type="textWrapping"/>
          </w:r>
          <w:r>
            <w:rPr>
              <w:sz w:val="16"/>
              <w:szCs w:val="16"/>
              <w:lang w:val="sr-Latn-RS"/>
            </w:rPr>
            <w:t>Tel: +381 (0)24/655-201</w:t>
          </w:r>
          <w:r>
            <w:rPr>
              <w:sz w:val="16"/>
              <w:szCs w:val="16"/>
              <w:lang w:val="sr-Latn-RS"/>
            </w:rPr>
            <w:br w:type="textWrapping"/>
          </w:r>
          <w:r>
            <w:rPr>
              <w:sz w:val="16"/>
              <w:szCs w:val="16"/>
              <w:lang w:val="sr-Latn-RS"/>
            </w:rPr>
            <w:t>Fax: +381 (0)24/655-255</w:t>
          </w:r>
          <w:r>
            <w:rPr>
              <w:sz w:val="16"/>
              <w:szCs w:val="16"/>
              <w:lang w:val="sr-Latn-RS"/>
            </w:rPr>
            <w:br w:type="textWrapping"/>
          </w:r>
          <w:r>
            <w:rPr>
              <w:sz w:val="16"/>
              <w:szCs w:val="16"/>
              <w:lang w:val="sr-Latn-RS"/>
            </w:rPr>
            <w:t>email: office@vts.su.ac.rs</w:t>
          </w:r>
        </w:p>
      </w:tc>
      <w:tc>
        <w:tcPr>
          <w:tcW w:w="2174" w:type="dxa"/>
          <w:vAlign w:val="center"/>
        </w:tcPr>
        <w:p>
          <w:pPr>
            <w:spacing w:before="0" w:after="0" w:line="240" w:lineRule="auto"/>
            <w:jc w:val="center"/>
            <w:rPr>
              <w:lang w:val="sr-Latn-RS"/>
            </w:rPr>
          </w:pPr>
        </w:p>
      </w:tc>
      <w:tc>
        <w:tcPr>
          <w:tcW w:w="2175" w:type="dxa"/>
          <w:vAlign w:val="center"/>
        </w:tcPr>
        <w:p>
          <w:pPr>
            <w:spacing w:before="0" w:after="0" w:line="240" w:lineRule="auto"/>
            <w:jc w:val="right"/>
            <w:rPr>
              <w:sz w:val="16"/>
              <w:szCs w:val="16"/>
              <w:lang w:val="sr-Latn-RS"/>
            </w:rPr>
          </w:pPr>
        </w:p>
      </w:tc>
    </w:tr>
  </w:tbl>
  <w:p>
    <w:pPr>
      <w:pStyle w:val="21"/>
      <w:rPr>
        <w:lang w:val="sr-Latn-R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91469"/>
    <w:multiLevelType w:val="multilevel"/>
    <w:tmpl w:val="00091469"/>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00F96C55"/>
    <w:multiLevelType w:val="multilevel"/>
    <w:tmpl w:val="00F96C55"/>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01484AA4"/>
    <w:multiLevelType w:val="multilevel"/>
    <w:tmpl w:val="01484AA4"/>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10652746"/>
    <w:multiLevelType w:val="multilevel"/>
    <w:tmpl w:val="10652746"/>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2C4A4ED0"/>
    <w:multiLevelType w:val="multilevel"/>
    <w:tmpl w:val="2C4A4ED0"/>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3C456D0F"/>
    <w:multiLevelType w:val="multilevel"/>
    <w:tmpl w:val="3C456D0F"/>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53A53302"/>
    <w:multiLevelType w:val="multilevel"/>
    <w:tmpl w:val="53A53302"/>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5ECC137F"/>
    <w:multiLevelType w:val="multilevel"/>
    <w:tmpl w:val="5ECC137F"/>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Ews7Q0NzSxNLG0NDZV0lEKTi0uzszPAykwrAUAxZ1BbCwAAAA="/>
  </w:docVars>
  <w:rsids>
    <w:rsidRoot w:val="00D0312A"/>
    <w:rsid w:val="00003AE2"/>
    <w:rsid w:val="00012613"/>
    <w:rsid w:val="00017562"/>
    <w:rsid w:val="00021D3E"/>
    <w:rsid w:val="00022F2B"/>
    <w:rsid w:val="0002348F"/>
    <w:rsid w:val="000252A3"/>
    <w:rsid w:val="00030467"/>
    <w:rsid w:val="000304A9"/>
    <w:rsid w:val="000416E6"/>
    <w:rsid w:val="0004590D"/>
    <w:rsid w:val="000479CD"/>
    <w:rsid w:val="00054492"/>
    <w:rsid w:val="0005666D"/>
    <w:rsid w:val="00057E25"/>
    <w:rsid w:val="000609A1"/>
    <w:rsid w:val="00061AD3"/>
    <w:rsid w:val="00066004"/>
    <w:rsid w:val="00066DA1"/>
    <w:rsid w:val="00071633"/>
    <w:rsid w:val="00071915"/>
    <w:rsid w:val="00072229"/>
    <w:rsid w:val="0007274F"/>
    <w:rsid w:val="00074B06"/>
    <w:rsid w:val="00080881"/>
    <w:rsid w:val="0008249B"/>
    <w:rsid w:val="00082E9E"/>
    <w:rsid w:val="00083AB4"/>
    <w:rsid w:val="00084CCD"/>
    <w:rsid w:val="00085CCB"/>
    <w:rsid w:val="00085DAC"/>
    <w:rsid w:val="00085E4D"/>
    <w:rsid w:val="00087156"/>
    <w:rsid w:val="00087C0D"/>
    <w:rsid w:val="00090CB6"/>
    <w:rsid w:val="000930E1"/>
    <w:rsid w:val="00096C75"/>
    <w:rsid w:val="00096C8A"/>
    <w:rsid w:val="000A227A"/>
    <w:rsid w:val="000A24C6"/>
    <w:rsid w:val="000A468B"/>
    <w:rsid w:val="000A5D8F"/>
    <w:rsid w:val="000A69AE"/>
    <w:rsid w:val="000A6E17"/>
    <w:rsid w:val="000A72FB"/>
    <w:rsid w:val="000A7F97"/>
    <w:rsid w:val="000B0134"/>
    <w:rsid w:val="000C13F8"/>
    <w:rsid w:val="000C38ED"/>
    <w:rsid w:val="000C4387"/>
    <w:rsid w:val="000C5DC3"/>
    <w:rsid w:val="000D2323"/>
    <w:rsid w:val="000D26F1"/>
    <w:rsid w:val="000D2B09"/>
    <w:rsid w:val="000D6E75"/>
    <w:rsid w:val="000D77E2"/>
    <w:rsid w:val="000D7828"/>
    <w:rsid w:val="000E02F9"/>
    <w:rsid w:val="000E37A7"/>
    <w:rsid w:val="000E487A"/>
    <w:rsid w:val="000E48DD"/>
    <w:rsid w:val="000E5F61"/>
    <w:rsid w:val="000F1FAB"/>
    <w:rsid w:val="000F4D36"/>
    <w:rsid w:val="00101FB1"/>
    <w:rsid w:val="00103048"/>
    <w:rsid w:val="00111AF2"/>
    <w:rsid w:val="0011333D"/>
    <w:rsid w:val="001136EB"/>
    <w:rsid w:val="00120B66"/>
    <w:rsid w:val="00120F90"/>
    <w:rsid w:val="00121107"/>
    <w:rsid w:val="00121612"/>
    <w:rsid w:val="00122A6E"/>
    <w:rsid w:val="001259E6"/>
    <w:rsid w:val="00126962"/>
    <w:rsid w:val="00132809"/>
    <w:rsid w:val="00133C76"/>
    <w:rsid w:val="00133D1A"/>
    <w:rsid w:val="00134BB7"/>
    <w:rsid w:val="00135D30"/>
    <w:rsid w:val="00135D68"/>
    <w:rsid w:val="001360B5"/>
    <w:rsid w:val="0013617A"/>
    <w:rsid w:val="00142CE1"/>
    <w:rsid w:val="0014340A"/>
    <w:rsid w:val="00151E54"/>
    <w:rsid w:val="001532DC"/>
    <w:rsid w:val="00153BD3"/>
    <w:rsid w:val="001549E3"/>
    <w:rsid w:val="001579B3"/>
    <w:rsid w:val="0016119A"/>
    <w:rsid w:val="00161212"/>
    <w:rsid w:val="00165642"/>
    <w:rsid w:val="0016640D"/>
    <w:rsid w:val="00166C95"/>
    <w:rsid w:val="00172C9F"/>
    <w:rsid w:val="00172D55"/>
    <w:rsid w:val="001741A5"/>
    <w:rsid w:val="001744EA"/>
    <w:rsid w:val="001772DB"/>
    <w:rsid w:val="00181A03"/>
    <w:rsid w:val="00182252"/>
    <w:rsid w:val="001861D7"/>
    <w:rsid w:val="00187DCD"/>
    <w:rsid w:val="00191CD5"/>
    <w:rsid w:val="00192E49"/>
    <w:rsid w:val="001939D9"/>
    <w:rsid w:val="00194C9F"/>
    <w:rsid w:val="001A0A0F"/>
    <w:rsid w:val="001A1B73"/>
    <w:rsid w:val="001A2692"/>
    <w:rsid w:val="001A59D5"/>
    <w:rsid w:val="001A71E0"/>
    <w:rsid w:val="001B299B"/>
    <w:rsid w:val="001B3A12"/>
    <w:rsid w:val="001C67A2"/>
    <w:rsid w:val="001D2F38"/>
    <w:rsid w:val="001D3765"/>
    <w:rsid w:val="001D3C6F"/>
    <w:rsid w:val="001D45D4"/>
    <w:rsid w:val="001D4620"/>
    <w:rsid w:val="001E77FC"/>
    <w:rsid w:val="001E7AFC"/>
    <w:rsid w:val="001F299A"/>
    <w:rsid w:val="001F3539"/>
    <w:rsid w:val="001F4239"/>
    <w:rsid w:val="001F5224"/>
    <w:rsid w:val="001F7C92"/>
    <w:rsid w:val="002010C7"/>
    <w:rsid w:val="00204CC5"/>
    <w:rsid w:val="002057E8"/>
    <w:rsid w:val="00205865"/>
    <w:rsid w:val="00205E07"/>
    <w:rsid w:val="00211A28"/>
    <w:rsid w:val="00212249"/>
    <w:rsid w:val="002144D8"/>
    <w:rsid w:val="00217D9F"/>
    <w:rsid w:val="0022027B"/>
    <w:rsid w:val="0022038E"/>
    <w:rsid w:val="00220843"/>
    <w:rsid w:val="00223FB6"/>
    <w:rsid w:val="00225B7D"/>
    <w:rsid w:val="002261DE"/>
    <w:rsid w:val="002265C0"/>
    <w:rsid w:val="002334B9"/>
    <w:rsid w:val="00235D4D"/>
    <w:rsid w:val="002401AF"/>
    <w:rsid w:val="00240468"/>
    <w:rsid w:val="0024092F"/>
    <w:rsid w:val="002409D1"/>
    <w:rsid w:val="00242B2E"/>
    <w:rsid w:val="0024334A"/>
    <w:rsid w:val="00243E5C"/>
    <w:rsid w:val="002447AA"/>
    <w:rsid w:val="0025568E"/>
    <w:rsid w:val="002571EA"/>
    <w:rsid w:val="00262372"/>
    <w:rsid w:val="002633C3"/>
    <w:rsid w:val="002667CE"/>
    <w:rsid w:val="00270A45"/>
    <w:rsid w:val="00270FE6"/>
    <w:rsid w:val="0027541F"/>
    <w:rsid w:val="00275B92"/>
    <w:rsid w:val="002764ED"/>
    <w:rsid w:val="002767FE"/>
    <w:rsid w:val="00277D6F"/>
    <w:rsid w:val="00280DC0"/>
    <w:rsid w:val="00280E5E"/>
    <w:rsid w:val="00282BA1"/>
    <w:rsid w:val="002838A5"/>
    <w:rsid w:val="002854B0"/>
    <w:rsid w:val="00294151"/>
    <w:rsid w:val="002948DB"/>
    <w:rsid w:val="00295105"/>
    <w:rsid w:val="00295EDB"/>
    <w:rsid w:val="0029783D"/>
    <w:rsid w:val="002A4B14"/>
    <w:rsid w:val="002A6E52"/>
    <w:rsid w:val="002B118A"/>
    <w:rsid w:val="002B33F7"/>
    <w:rsid w:val="002B6030"/>
    <w:rsid w:val="002B664A"/>
    <w:rsid w:val="002B7952"/>
    <w:rsid w:val="002C22F3"/>
    <w:rsid w:val="002C6C25"/>
    <w:rsid w:val="002D230F"/>
    <w:rsid w:val="002D2CD4"/>
    <w:rsid w:val="002D3A14"/>
    <w:rsid w:val="002D4507"/>
    <w:rsid w:val="002D578C"/>
    <w:rsid w:val="002D6E07"/>
    <w:rsid w:val="002D6EB2"/>
    <w:rsid w:val="002E30C5"/>
    <w:rsid w:val="002E40C0"/>
    <w:rsid w:val="002F00D2"/>
    <w:rsid w:val="002F1E9F"/>
    <w:rsid w:val="002F225D"/>
    <w:rsid w:val="002F3D1E"/>
    <w:rsid w:val="002F6DEA"/>
    <w:rsid w:val="002F7232"/>
    <w:rsid w:val="00303EE8"/>
    <w:rsid w:val="00304495"/>
    <w:rsid w:val="00305C3A"/>
    <w:rsid w:val="0030640C"/>
    <w:rsid w:val="00310391"/>
    <w:rsid w:val="00310D73"/>
    <w:rsid w:val="00311D55"/>
    <w:rsid w:val="00313642"/>
    <w:rsid w:val="00317B3E"/>
    <w:rsid w:val="00320C4F"/>
    <w:rsid w:val="00321FA2"/>
    <w:rsid w:val="00323A69"/>
    <w:rsid w:val="0032419C"/>
    <w:rsid w:val="003256E2"/>
    <w:rsid w:val="00325D4D"/>
    <w:rsid w:val="00325D57"/>
    <w:rsid w:val="00326300"/>
    <w:rsid w:val="0032642C"/>
    <w:rsid w:val="0033083C"/>
    <w:rsid w:val="0033455F"/>
    <w:rsid w:val="003351A3"/>
    <w:rsid w:val="00336A02"/>
    <w:rsid w:val="00344AD3"/>
    <w:rsid w:val="00347588"/>
    <w:rsid w:val="00352719"/>
    <w:rsid w:val="00352D97"/>
    <w:rsid w:val="00353453"/>
    <w:rsid w:val="003556DA"/>
    <w:rsid w:val="0035585E"/>
    <w:rsid w:val="00360CBB"/>
    <w:rsid w:val="00361CD5"/>
    <w:rsid w:val="00361F6F"/>
    <w:rsid w:val="0036209C"/>
    <w:rsid w:val="003639D9"/>
    <w:rsid w:val="00363AFD"/>
    <w:rsid w:val="00364A11"/>
    <w:rsid w:val="003657E1"/>
    <w:rsid w:val="00377ECB"/>
    <w:rsid w:val="00380296"/>
    <w:rsid w:val="0038066B"/>
    <w:rsid w:val="00385526"/>
    <w:rsid w:val="00385AAB"/>
    <w:rsid w:val="003919C9"/>
    <w:rsid w:val="00397196"/>
    <w:rsid w:val="0039787B"/>
    <w:rsid w:val="003A054F"/>
    <w:rsid w:val="003A136C"/>
    <w:rsid w:val="003A3C66"/>
    <w:rsid w:val="003A44BD"/>
    <w:rsid w:val="003A6913"/>
    <w:rsid w:val="003B089B"/>
    <w:rsid w:val="003B3B18"/>
    <w:rsid w:val="003B44D9"/>
    <w:rsid w:val="003B62F4"/>
    <w:rsid w:val="003B6AC1"/>
    <w:rsid w:val="003B712C"/>
    <w:rsid w:val="003C7AB3"/>
    <w:rsid w:val="003D30CD"/>
    <w:rsid w:val="003E20EA"/>
    <w:rsid w:val="003E5BC4"/>
    <w:rsid w:val="003E60D5"/>
    <w:rsid w:val="003E69B0"/>
    <w:rsid w:val="003E6B43"/>
    <w:rsid w:val="003E726E"/>
    <w:rsid w:val="003E74B4"/>
    <w:rsid w:val="003F367F"/>
    <w:rsid w:val="003F40DA"/>
    <w:rsid w:val="003F5185"/>
    <w:rsid w:val="003F5F97"/>
    <w:rsid w:val="003F64BA"/>
    <w:rsid w:val="003F783E"/>
    <w:rsid w:val="00401D00"/>
    <w:rsid w:val="00407FC1"/>
    <w:rsid w:val="004107B7"/>
    <w:rsid w:val="00413BD4"/>
    <w:rsid w:val="00414FDE"/>
    <w:rsid w:val="004168B7"/>
    <w:rsid w:val="00421A4A"/>
    <w:rsid w:val="00422252"/>
    <w:rsid w:val="00422B95"/>
    <w:rsid w:val="004233CE"/>
    <w:rsid w:val="00426223"/>
    <w:rsid w:val="00433DC4"/>
    <w:rsid w:val="00434AB2"/>
    <w:rsid w:val="00435303"/>
    <w:rsid w:val="0043670A"/>
    <w:rsid w:val="0044479A"/>
    <w:rsid w:val="00444802"/>
    <w:rsid w:val="004473CF"/>
    <w:rsid w:val="00451C39"/>
    <w:rsid w:val="00452E3F"/>
    <w:rsid w:val="00454A9C"/>
    <w:rsid w:val="0045720C"/>
    <w:rsid w:val="00462B74"/>
    <w:rsid w:val="00463E6C"/>
    <w:rsid w:val="00464F08"/>
    <w:rsid w:val="00466331"/>
    <w:rsid w:val="00466E9E"/>
    <w:rsid w:val="004730D9"/>
    <w:rsid w:val="0047347F"/>
    <w:rsid w:val="00474EAC"/>
    <w:rsid w:val="00480325"/>
    <w:rsid w:val="00482C74"/>
    <w:rsid w:val="00483AA2"/>
    <w:rsid w:val="0048449D"/>
    <w:rsid w:val="00484C70"/>
    <w:rsid w:val="00484CFE"/>
    <w:rsid w:val="0049179B"/>
    <w:rsid w:val="00492D16"/>
    <w:rsid w:val="004939D2"/>
    <w:rsid w:val="00494678"/>
    <w:rsid w:val="00497964"/>
    <w:rsid w:val="004A1307"/>
    <w:rsid w:val="004A4182"/>
    <w:rsid w:val="004A4F40"/>
    <w:rsid w:val="004A7A1B"/>
    <w:rsid w:val="004A7E21"/>
    <w:rsid w:val="004B0A56"/>
    <w:rsid w:val="004B15F0"/>
    <w:rsid w:val="004B2177"/>
    <w:rsid w:val="004C151F"/>
    <w:rsid w:val="004C4FC3"/>
    <w:rsid w:val="004C6901"/>
    <w:rsid w:val="004D1303"/>
    <w:rsid w:val="004D170A"/>
    <w:rsid w:val="004D1EA8"/>
    <w:rsid w:val="004D2189"/>
    <w:rsid w:val="004D2790"/>
    <w:rsid w:val="004D431A"/>
    <w:rsid w:val="004D48D9"/>
    <w:rsid w:val="004D5A31"/>
    <w:rsid w:val="004E444F"/>
    <w:rsid w:val="004F0159"/>
    <w:rsid w:val="004F101F"/>
    <w:rsid w:val="004F1444"/>
    <w:rsid w:val="004F233B"/>
    <w:rsid w:val="004F632D"/>
    <w:rsid w:val="005034AC"/>
    <w:rsid w:val="00506CC8"/>
    <w:rsid w:val="00506E0B"/>
    <w:rsid w:val="00512224"/>
    <w:rsid w:val="00512AD4"/>
    <w:rsid w:val="005146A3"/>
    <w:rsid w:val="0051764E"/>
    <w:rsid w:val="005234B6"/>
    <w:rsid w:val="005246AD"/>
    <w:rsid w:val="00526294"/>
    <w:rsid w:val="00532321"/>
    <w:rsid w:val="00532682"/>
    <w:rsid w:val="005352D5"/>
    <w:rsid w:val="00535AD1"/>
    <w:rsid w:val="00540D93"/>
    <w:rsid w:val="0054168B"/>
    <w:rsid w:val="005422C7"/>
    <w:rsid w:val="0054478C"/>
    <w:rsid w:val="00550846"/>
    <w:rsid w:val="005509FA"/>
    <w:rsid w:val="00551012"/>
    <w:rsid w:val="005529C4"/>
    <w:rsid w:val="00554529"/>
    <w:rsid w:val="00563711"/>
    <w:rsid w:val="0056561B"/>
    <w:rsid w:val="00566080"/>
    <w:rsid w:val="00566B21"/>
    <w:rsid w:val="005728E9"/>
    <w:rsid w:val="00573544"/>
    <w:rsid w:val="00580C0B"/>
    <w:rsid w:val="00583B41"/>
    <w:rsid w:val="00586946"/>
    <w:rsid w:val="005903AE"/>
    <w:rsid w:val="00590B63"/>
    <w:rsid w:val="00594F43"/>
    <w:rsid w:val="005955D5"/>
    <w:rsid w:val="00597BED"/>
    <w:rsid w:val="005A093E"/>
    <w:rsid w:val="005A0B20"/>
    <w:rsid w:val="005A367E"/>
    <w:rsid w:val="005A7715"/>
    <w:rsid w:val="005B36F0"/>
    <w:rsid w:val="005B3D25"/>
    <w:rsid w:val="005B6A30"/>
    <w:rsid w:val="005B6ADB"/>
    <w:rsid w:val="005C0D4C"/>
    <w:rsid w:val="005C1F5A"/>
    <w:rsid w:val="005C29E9"/>
    <w:rsid w:val="005C64AD"/>
    <w:rsid w:val="005C65D2"/>
    <w:rsid w:val="005D0172"/>
    <w:rsid w:val="005D10AB"/>
    <w:rsid w:val="005D1956"/>
    <w:rsid w:val="005D29F4"/>
    <w:rsid w:val="005D2CA6"/>
    <w:rsid w:val="005E0481"/>
    <w:rsid w:val="005E35DA"/>
    <w:rsid w:val="005E44AA"/>
    <w:rsid w:val="005E70B8"/>
    <w:rsid w:val="005E73F7"/>
    <w:rsid w:val="005F292B"/>
    <w:rsid w:val="005F2E59"/>
    <w:rsid w:val="005F44B0"/>
    <w:rsid w:val="005F7DC4"/>
    <w:rsid w:val="00605A69"/>
    <w:rsid w:val="006120D9"/>
    <w:rsid w:val="006146E7"/>
    <w:rsid w:val="00615A64"/>
    <w:rsid w:val="00616A2B"/>
    <w:rsid w:val="00617C62"/>
    <w:rsid w:val="00620695"/>
    <w:rsid w:val="00620A5C"/>
    <w:rsid w:val="006213B6"/>
    <w:rsid w:val="00622AEB"/>
    <w:rsid w:val="006260F4"/>
    <w:rsid w:val="0062706D"/>
    <w:rsid w:val="00627113"/>
    <w:rsid w:val="00627FA7"/>
    <w:rsid w:val="00631898"/>
    <w:rsid w:val="00632175"/>
    <w:rsid w:val="006322F8"/>
    <w:rsid w:val="00632BA2"/>
    <w:rsid w:val="00633987"/>
    <w:rsid w:val="00634B6B"/>
    <w:rsid w:val="0063594A"/>
    <w:rsid w:val="00636BB8"/>
    <w:rsid w:val="0063782C"/>
    <w:rsid w:val="006402F6"/>
    <w:rsid w:val="0064163B"/>
    <w:rsid w:val="006432EB"/>
    <w:rsid w:val="006454D0"/>
    <w:rsid w:val="00646B19"/>
    <w:rsid w:val="006479F5"/>
    <w:rsid w:val="0065088C"/>
    <w:rsid w:val="006518EF"/>
    <w:rsid w:val="006546DD"/>
    <w:rsid w:val="00654713"/>
    <w:rsid w:val="00657498"/>
    <w:rsid w:val="0066367E"/>
    <w:rsid w:val="00667F05"/>
    <w:rsid w:val="0067280F"/>
    <w:rsid w:val="00673FDB"/>
    <w:rsid w:val="00674026"/>
    <w:rsid w:val="006753CF"/>
    <w:rsid w:val="00675D3D"/>
    <w:rsid w:val="00675FD7"/>
    <w:rsid w:val="006802D7"/>
    <w:rsid w:val="00683013"/>
    <w:rsid w:val="0068463B"/>
    <w:rsid w:val="006847E1"/>
    <w:rsid w:val="00685ADB"/>
    <w:rsid w:val="00685B6F"/>
    <w:rsid w:val="00685DD3"/>
    <w:rsid w:val="006861EA"/>
    <w:rsid w:val="006869C2"/>
    <w:rsid w:val="00692153"/>
    <w:rsid w:val="00692528"/>
    <w:rsid w:val="0069626C"/>
    <w:rsid w:val="006A0390"/>
    <w:rsid w:val="006A0C38"/>
    <w:rsid w:val="006A2EB4"/>
    <w:rsid w:val="006A4FF1"/>
    <w:rsid w:val="006B09B6"/>
    <w:rsid w:val="006B1F07"/>
    <w:rsid w:val="006B38B0"/>
    <w:rsid w:val="006C1A12"/>
    <w:rsid w:val="006C24CE"/>
    <w:rsid w:val="006C4650"/>
    <w:rsid w:val="006C4AEF"/>
    <w:rsid w:val="006C728F"/>
    <w:rsid w:val="006D2E54"/>
    <w:rsid w:val="006D4F15"/>
    <w:rsid w:val="006D5839"/>
    <w:rsid w:val="006E18EF"/>
    <w:rsid w:val="006E2916"/>
    <w:rsid w:val="006E3CEF"/>
    <w:rsid w:val="006E5A35"/>
    <w:rsid w:val="006E6BD2"/>
    <w:rsid w:val="006F085D"/>
    <w:rsid w:val="006F4361"/>
    <w:rsid w:val="006F629C"/>
    <w:rsid w:val="006F79D8"/>
    <w:rsid w:val="00703911"/>
    <w:rsid w:val="0072082F"/>
    <w:rsid w:val="00725A9F"/>
    <w:rsid w:val="00726A2C"/>
    <w:rsid w:val="007321AD"/>
    <w:rsid w:val="0073291C"/>
    <w:rsid w:val="007431CF"/>
    <w:rsid w:val="007435C4"/>
    <w:rsid w:val="00744597"/>
    <w:rsid w:val="007453AE"/>
    <w:rsid w:val="00746C59"/>
    <w:rsid w:val="00747BA1"/>
    <w:rsid w:val="00750CC2"/>
    <w:rsid w:val="00751420"/>
    <w:rsid w:val="00752AEC"/>
    <w:rsid w:val="0075322F"/>
    <w:rsid w:val="00753E3A"/>
    <w:rsid w:val="00760B48"/>
    <w:rsid w:val="00763CD5"/>
    <w:rsid w:val="00763D95"/>
    <w:rsid w:val="007659D2"/>
    <w:rsid w:val="00767DA8"/>
    <w:rsid w:val="00770E21"/>
    <w:rsid w:val="00771854"/>
    <w:rsid w:val="007724D2"/>
    <w:rsid w:val="0077322A"/>
    <w:rsid w:val="007751B9"/>
    <w:rsid w:val="00775F17"/>
    <w:rsid w:val="00776E0D"/>
    <w:rsid w:val="0077757C"/>
    <w:rsid w:val="00780ADF"/>
    <w:rsid w:val="0078397C"/>
    <w:rsid w:val="00783CDC"/>
    <w:rsid w:val="00783E9D"/>
    <w:rsid w:val="00787D68"/>
    <w:rsid w:val="00787E69"/>
    <w:rsid w:val="00792775"/>
    <w:rsid w:val="00792B9A"/>
    <w:rsid w:val="007931D2"/>
    <w:rsid w:val="00796BBC"/>
    <w:rsid w:val="007B00FD"/>
    <w:rsid w:val="007B2C55"/>
    <w:rsid w:val="007B5802"/>
    <w:rsid w:val="007B6EF6"/>
    <w:rsid w:val="007B7A63"/>
    <w:rsid w:val="007B7C7F"/>
    <w:rsid w:val="007C1B92"/>
    <w:rsid w:val="007C4799"/>
    <w:rsid w:val="007C4A21"/>
    <w:rsid w:val="007C4AC1"/>
    <w:rsid w:val="007C74C7"/>
    <w:rsid w:val="007D05A3"/>
    <w:rsid w:val="007D0D24"/>
    <w:rsid w:val="007D6043"/>
    <w:rsid w:val="007D7F97"/>
    <w:rsid w:val="007E1D6E"/>
    <w:rsid w:val="007E4D5A"/>
    <w:rsid w:val="007E639C"/>
    <w:rsid w:val="007E6DD2"/>
    <w:rsid w:val="007E7086"/>
    <w:rsid w:val="007E7220"/>
    <w:rsid w:val="007F10FB"/>
    <w:rsid w:val="00801718"/>
    <w:rsid w:val="00805F48"/>
    <w:rsid w:val="0080620C"/>
    <w:rsid w:val="00806EBF"/>
    <w:rsid w:val="008123F1"/>
    <w:rsid w:val="0081287A"/>
    <w:rsid w:val="00814DB0"/>
    <w:rsid w:val="008163CA"/>
    <w:rsid w:val="00816E7B"/>
    <w:rsid w:val="00820984"/>
    <w:rsid w:val="00825D63"/>
    <w:rsid w:val="00832F70"/>
    <w:rsid w:val="00835ABB"/>
    <w:rsid w:val="00837210"/>
    <w:rsid w:val="008376E9"/>
    <w:rsid w:val="0084559C"/>
    <w:rsid w:val="008508BE"/>
    <w:rsid w:val="00851003"/>
    <w:rsid w:val="008548F4"/>
    <w:rsid w:val="00854CDE"/>
    <w:rsid w:val="00855D38"/>
    <w:rsid w:val="00855EE1"/>
    <w:rsid w:val="0085603B"/>
    <w:rsid w:val="0086025F"/>
    <w:rsid w:val="008602CE"/>
    <w:rsid w:val="00863461"/>
    <w:rsid w:val="00864EE8"/>
    <w:rsid w:val="0087139A"/>
    <w:rsid w:val="008723AB"/>
    <w:rsid w:val="0087268D"/>
    <w:rsid w:val="0087430C"/>
    <w:rsid w:val="00874602"/>
    <w:rsid w:val="00875078"/>
    <w:rsid w:val="008757F2"/>
    <w:rsid w:val="008775E2"/>
    <w:rsid w:val="008821D1"/>
    <w:rsid w:val="0088468E"/>
    <w:rsid w:val="0088694A"/>
    <w:rsid w:val="008925CF"/>
    <w:rsid w:val="00892776"/>
    <w:rsid w:val="00892EAF"/>
    <w:rsid w:val="00893C3E"/>
    <w:rsid w:val="008945CF"/>
    <w:rsid w:val="008979D0"/>
    <w:rsid w:val="008A5F27"/>
    <w:rsid w:val="008A6F4E"/>
    <w:rsid w:val="008B218E"/>
    <w:rsid w:val="008B39D4"/>
    <w:rsid w:val="008B4C1B"/>
    <w:rsid w:val="008B4DC2"/>
    <w:rsid w:val="008B54DB"/>
    <w:rsid w:val="008B5D3A"/>
    <w:rsid w:val="008C14D6"/>
    <w:rsid w:val="008C5EEC"/>
    <w:rsid w:val="008D1000"/>
    <w:rsid w:val="008D1878"/>
    <w:rsid w:val="008D5C87"/>
    <w:rsid w:val="008D62AC"/>
    <w:rsid w:val="008D68FB"/>
    <w:rsid w:val="008D77F4"/>
    <w:rsid w:val="008E12EC"/>
    <w:rsid w:val="008E4DF1"/>
    <w:rsid w:val="008E565F"/>
    <w:rsid w:val="008E7EA8"/>
    <w:rsid w:val="008F53B8"/>
    <w:rsid w:val="00905B0E"/>
    <w:rsid w:val="00906283"/>
    <w:rsid w:val="00906FBB"/>
    <w:rsid w:val="009118AF"/>
    <w:rsid w:val="00914098"/>
    <w:rsid w:val="00914CAA"/>
    <w:rsid w:val="00916CB8"/>
    <w:rsid w:val="00917360"/>
    <w:rsid w:val="00917442"/>
    <w:rsid w:val="00920BD7"/>
    <w:rsid w:val="00921D7F"/>
    <w:rsid w:val="00933BD7"/>
    <w:rsid w:val="00935B93"/>
    <w:rsid w:val="00936A13"/>
    <w:rsid w:val="0093766F"/>
    <w:rsid w:val="0094057B"/>
    <w:rsid w:val="00942722"/>
    <w:rsid w:val="009432B6"/>
    <w:rsid w:val="00944D97"/>
    <w:rsid w:val="00944F51"/>
    <w:rsid w:val="00945F6C"/>
    <w:rsid w:val="00946FEE"/>
    <w:rsid w:val="0094707B"/>
    <w:rsid w:val="00950FC4"/>
    <w:rsid w:val="0095368E"/>
    <w:rsid w:val="00954042"/>
    <w:rsid w:val="00955697"/>
    <w:rsid w:val="0095622F"/>
    <w:rsid w:val="00956B83"/>
    <w:rsid w:val="00965174"/>
    <w:rsid w:val="00970F70"/>
    <w:rsid w:val="00972BF3"/>
    <w:rsid w:val="009737C9"/>
    <w:rsid w:val="00976D59"/>
    <w:rsid w:val="00981421"/>
    <w:rsid w:val="00984FF4"/>
    <w:rsid w:val="00986176"/>
    <w:rsid w:val="00986A22"/>
    <w:rsid w:val="009871F8"/>
    <w:rsid w:val="009943BA"/>
    <w:rsid w:val="00996679"/>
    <w:rsid w:val="009A0DAC"/>
    <w:rsid w:val="009A22F4"/>
    <w:rsid w:val="009A5816"/>
    <w:rsid w:val="009A6E61"/>
    <w:rsid w:val="009B0F9F"/>
    <w:rsid w:val="009B5920"/>
    <w:rsid w:val="009C046E"/>
    <w:rsid w:val="009C0508"/>
    <w:rsid w:val="009C2523"/>
    <w:rsid w:val="009C2D46"/>
    <w:rsid w:val="009C2FF6"/>
    <w:rsid w:val="009C3C09"/>
    <w:rsid w:val="009C5DD3"/>
    <w:rsid w:val="009C6B9C"/>
    <w:rsid w:val="009D18B5"/>
    <w:rsid w:val="009D19EE"/>
    <w:rsid w:val="009D2A0E"/>
    <w:rsid w:val="009D41F7"/>
    <w:rsid w:val="009D669C"/>
    <w:rsid w:val="009D6884"/>
    <w:rsid w:val="009D7353"/>
    <w:rsid w:val="009D7C71"/>
    <w:rsid w:val="009E7F29"/>
    <w:rsid w:val="009F3508"/>
    <w:rsid w:val="009F585F"/>
    <w:rsid w:val="009F7F34"/>
    <w:rsid w:val="00A0726D"/>
    <w:rsid w:val="00A1079A"/>
    <w:rsid w:val="00A10C7B"/>
    <w:rsid w:val="00A11FA8"/>
    <w:rsid w:val="00A12B8B"/>
    <w:rsid w:val="00A1408C"/>
    <w:rsid w:val="00A17CDA"/>
    <w:rsid w:val="00A23252"/>
    <w:rsid w:val="00A26B66"/>
    <w:rsid w:val="00A34EC8"/>
    <w:rsid w:val="00A35AC3"/>
    <w:rsid w:val="00A4084C"/>
    <w:rsid w:val="00A41ED4"/>
    <w:rsid w:val="00A45C24"/>
    <w:rsid w:val="00A45D5A"/>
    <w:rsid w:val="00A50275"/>
    <w:rsid w:val="00A53025"/>
    <w:rsid w:val="00A53443"/>
    <w:rsid w:val="00A53E05"/>
    <w:rsid w:val="00A541EF"/>
    <w:rsid w:val="00A5522C"/>
    <w:rsid w:val="00A56B7A"/>
    <w:rsid w:val="00A63B19"/>
    <w:rsid w:val="00A63F99"/>
    <w:rsid w:val="00A72434"/>
    <w:rsid w:val="00A76AE4"/>
    <w:rsid w:val="00A77BDD"/>
    <w:rsid w:val="00A77D1E"/>
    <w:rsid w:val="00A8353A"/>
    <w:rsid w:val="00A96D20"/>
    <w:rsid w:val="00AA0750"/>
    <w:rsid w:val="00AA07B1"/>
    <w:rsid w:val="00AA16D5"/>
    <w:rsid w:val="00AA4834"/>
    <w:rsid w:val="00AA487F"/>
    <w:rsid w:val="00AA49D1"/>
    <w:rsid w:val="00AA5AC2"/>
    <w:rsid w:val="00AA6EB4"/>
    <w:rsid w:val="00AB4493"/>
    <w:rsid w:val="00AB58C7"/>
    <w:rsid w:val="00AB7025"/>
    <w:rsid w:val="00AB7473"/>
    <w:rsid w:val="00AC29E0"/>
    <w:rsid w:val="00AC380F"/>
    <w:rsid w:val="00AC65BB"/>
    <w:rsid w:val="00AC6E33"/>
    <w:rsid w:val="00AC7F58"/>
    <w:rsid w:val="00AD38A2"/>
    <w:rsid w:val="00AD5472"/>
    <w:rsid w:val="00AD60E0"/>
    <w:rsid w:val="00AD65AD"/>
    <w:rsid w:val="00AE154C"/>
    <w:rsid w:val="00AE1AE0"/>
    <w:rsid w:val="00AE1CCA"/>
    <w:rsid w:val="00AE208B"/>
    <w:rsid w:val="00AE2E35"/>
    <w:rsid w:val="00AF02BD"/>
    <w:rsid w:val="00AF0F97"/>
    <w:rsid w:val="00AF1651"/>
    <w:rsid w:val="00AF3FD1"/>
    <w:rsid w:val="00AF5148"/>
    <w:rsid w:val="00B0005A"/>
    <w:rsid w:val="00B00D45"/>
    <w:rsid w:val="00B01D01"/>
    <w:rsid w:val="00B0330D"/>
    <w:rsid w:val="00B05430"/>
    <w:rsid w:val="00B06C7F"/>
    <w:rsid w:val="00B1139E"/>
    <w:rsid w:val="00B13CE4"/>
    <w:rsid w:val="00B14007"/>
    <w:rsid w:val="00B204DB"/>
    <w:rsid w:val="00B2298A"/>
    <w:rsid w:val="00B24961"/>
    <w:rsid w:val="00B2642E"/>
    <w:rsid w:val="00B274C4"/>
    <w:rsid w:val="00B32A4B"/>
    <w:rsid w:val="00B41D92"/>
    <w:rsid w:val="00B436F7"/>
    <w:rsid w:val="00B50563"/>
    <w:rsid w:val="00B5100B"/>
    <w:rsid w:val="00B53DB2"/>
    <w:rsid w:val="00B5454F"/>
    <w:rsid w:val="00B547D4"/>
    <w:rsid w:val="00B6125D"/>
    <w:rsid w:val="00B6332E"/>
    <w:rsid w:val="00B63B42"/>
    <w:rsid w:val="00B64852"/>
    <w:rsid w:val="00B64B2E"/>
    <w:rsid w:val="00B65569"/>
    <w:rsid w:val="00B65A40"/>
    <w:rsid w:val="00B6706A"/>
    <w:rsid w:val="00B767F7"/>
    <w:rsid w:val="00B84C38"/>
    <w:rsid w:val="00B86837"/>
    <w:rsid w:val="00B86DE8"/>
    <w:rsid w:val="00B91B0B"/>
    <w:rsid w:val="00B972F4"/>
    <w:rsid w:val="00B97518"/>
    <w:rsid w:val="00BA064A"/>
    <w:rsid w:val="00BA0A7E"/>
    <w:rsid w:val="00BA4F41"/>
    <w:rsid w:val="00BA5109"/>
    <w:rsid w:val="00BA596A"/>
    <w:rsid w:val="00BA7FD2"/>
    <w:rsid w:val="00BB18A1"/>
    <w:rsid w:val="00BB3169"/>
    <w:rsid w:val="00BB3738"/>
    <w:rsid w:val="00BB4002"/>
    <w:rsid w:val="00BB5803"/>
    <w:rsid w:val="00BB674C"/>
    <w:rsid w:val="00BC3C27"/>
    <w:rsid w:val="00BC58F5"/>
    <w:rsid w:val="00BD0808"/>
    <w:rsid w:val="00BD0DBB"/>
    <w:rsid w:val="00BD388D"/>
    <w:rsid w:val="00BD5972"/>
    <w:rsid w:val="00BD71C1"/>
    <w:rsid w:val="00BE17B7"/>
    <w:rsid w:val="00BE29B2"/>
    <w:rsid w:val="00BE392F"/>
    <w:rsid w:val="00BE60AE"/>
    <w:rsid w:val="00BF08CD"/>
    <w:rsid w:val="00BF09AD"/>
    <w:rsid w:val="00BF13DC"/>
    <w:rsid w:val="00BF149E"/>
    <w:rsid w:val="00BF2E9E"/>
    <w:rsid w:val="00BF3CE5"/>
    <w:rsid w:val="00BF5EAF"/>
    <w:rsid w:val="00C00C21"/>
    <w:rsid w:val="00C026D8"/>
    <w:rsid w:val="00C04D2D"/>
    <w:rsid w:val="00C05DBA"/>
    <w:rsid w:val="00C05DD4"/>
    <w:rsid w:val="00C064D7"/>
    <w:rsid w:val="00C0665F"/>
    <w:rsid w:val="00C06E19"/>
    <w:rsid w:val="00C1001E"/>
    <w:rsid w:val="00C10646"/>
    <w:rsid w:val="00C116BF"/>
    <w:rsid w:val="00C15E71"/>
    <w:rsid w:val="00C20377"/>
    <w:rsid w:val="00C203F8"/>
    <w:rsid w:val="00C207BD"/>
    <w:rsid w:val="00C21374"/>
    <w:rsid w:val="00C26187"/>
    <w:rsid w:val="00C26900"/>
    <w:rsid w:val="00C270CB"/>
    <w:rsid w:val="00C31613"/>
    <w:rsid w:val="00C335D7"/>
    <w:rsid w:val="00C35A5B"/>
    <w:rsid w:val="00C41958"/>
    <w:rsid w:val="00C47FAF"/>
    <w:rsid w:val="00C5099A"/>
    <w:rsid w:val="00C5152E"/>
    <w:rsid w:val="00C525B1"/>
    <w:rsid w:val="00C542FB"/>
    <w:rsid w:val="00C561D8"/>
    <w:rsid w:val="00C574F0"/>
    <w:rsid w:val="00C57782"/>
    <w:rsid w:val="00C6243D"/>
    <w:rsid w:val="00C62BEF"/>
    <w:rsid w:val="00C62C3A"/>
    <w:rsid w:val="00C63DE4"/>
    <w:rsid w:val="00C65091"/>
    <w:rsid w:val="00C7082E"/>
    <w:rsid w:val="00C71352"/>
    <w:rsid w:val="00C72F82"/>
    <w:rsid w:val="00C763B0"/>
    <w:rsid w:val="00C77315"/>
    <w:rsid w:val="00C7778C"/>
    <w:rsid w:val="00C80EDB"/>
    <w:rsid w:val="00C87FFD"/>
    <w:rsid w:val="00C90866"/>
    <w:rsid w:val="00C9407C"/>
    <w:rsid w:val="00CA08C1"/>
    <w:rsid w:val="00CA0F10"/>
    <w:rsid w:val="00CA60BD"/>
    <w:rsid w:val="00CA78FD"/>
    <w:rsid w:val="00CB0A0C"/>
    <w:rsid w:val="00CB3424"/>
    <w:rsid w:val="00CB3887"/>
    <w:rsid w:val="00CB622B"/>
    <w:rsid w:val="00CC0ED9"/>
    <w:rsid w:val="00CC1557"/>
    <w:rsid w:val="00CC2BC4"/>
    <w:rsid w:val="00CC68CC"/>
    <w:rsid w:val="00CC6F92"/>
    <w:rsid w:val="00CD039F"/>
    <w:rsid w:val="00CD1E5F"/>
    <w:rsid w:val="00CD2E1B"/>
    <w:rsid w:val="00CD458D"/>
    <w:rsid w:val="00CD4777"/>
    <w:rsid w:val="00CD5A00"/>
    <w:rsid w:val="00CD6E1A"/>
    <w:rsid w:val="00CE09D4"/>
    <w:rsid w:val="00CE0D86"/>
    <w:rsid w:val="00CE4CA2"/>
    <w:rsid w:val="00CE737C"/>
    <w:rsid w:val="00CF0DB4"/>
    <w:rsid w:val="00CF144A"/>
    <w:rsid w:val="00D00D45"/>
    <w:rsid w:val="00D00F03"/>
    <w:rsid w:val="00D0312A"/>
    <w:rsid w:val="00D0539A"/>
    <w:rsid w:val="00D15367"/>
    <w:rsid w:val="00D165C7"/>
    <w:rsid w:val="00D1680D"/>
    <w:rsid w:val="00D24055"/>
    <w:rsid w:val="00D241DB"/>
    <w:rsid w:val="00D25E2B"/>
    <w:rsid w:val="00D26977"/>
    <w:rsid w:val="00D31E9C"/>
    <w:rsid w:val="00D32D63"/>
    <w:rsid w:val="00D368D9"/>
    <w:rsid w:val="00D518CD"/>
    <w:rsid w:val="00D55252"/>
    <w:rsid w:val="00D554E6"/>
    <w:rsid w:val="00D5658F"/>
    <w:rsid w:val="00D56E57"/>
    <w:rsid w:val="00D620F6"/>
    <w:rsid w:val="00D63357"/>
    <w:rsid w:val="00D660DE"/>
    <w:rsid w:val="00D7119D"/>
    <w:rsid w:val="00D71F54"/>
    <w:rsid w:val="00D72493"/>
    <w:rsid w:val="00D7429C"/>
    <w:rsid w:val="00D7452C"/>
    <w:rsid w:val="00D84019"/>
    <w:rsid w:val="00D84C7C"/>
    <w:rsid w:val="00D850B7"/>
    <w:rsid w:val="00D858A2"/>
    <w:rsid w:val="00D860FC"/>
    <w:rsid w:val="00D86655"/>
    <w:rsid w:val="00D9172F"/>
    <w:rsid w:val="00D93381"/>
    <w:rsid w:val="00D94527"/>
    <w:rsid w:val="00D94B82"/>
    <w:rsid w:val="00DA3670"/>
    <w:rsid w:val="00DA4C82"/>
    <w:rsid w:val="00DB22FB"/>
    <w:rsid w:val="00DB55E0"/>
    <w:rsid w:val="00DB6B6B"/>
    <w:rsid w:val="00DB7F89"/>
    <w:rsid w:val="00DC1050"/>
    <w:rsid w:val="00DC4766"/>
    <w:rsid w:val="00DC6438"/>
    <w:rsid w:val="00DC676F"/>
    <w:rsid w:val="00DE17A2"/>
    <w:rsid w:val="00DE29D8"/>
    <w:rsid w:val="00DE318D"/>
    <w:rsid w:val="00DE390E"/>
    <w:rsid w:val="00DF0849"/>
    <w:rsid w:val="00DF229E"/>
    <w:rsid w:val="00DF42E3"/>
    <w:rsid w:val="00DF7C69"/>
    <w:rsid w:val="00E02ECD"/>
    <w:rsid w:val="00E10807"/>
    <w:rsid w:val="00E11826"/>
    <w:rsid w:val="00E12B31"/>
    <w:rsid w:val="00E12E30"/>
    <w:rsid w:val="00E13A85"/>
    <w:rsid w:val="00E148EA"/>
    <w:rsid w:val="00E1603E"/>
    <w:rsid w:val="00E20288"/>
    <w:rsid w:val="00E20A78"/>
    <w:rsid w:val="00E23CB5"/>
    <w:rsid w:val="00E305FA"/>
    <w:rsid w:val="00E371D4"/>
    <w:rsid w:val="00E50963"/>
    <w:rsid w:val="00E514C1"/>
    <w:rsid w:val="00E52C8E"/>
    <w:rsid w:val="00E53B0E"/>
    <w:rsid w:val="00E5657E"/>
    <w:rsid w:val="00E577E3"/>
    <w:rsid w:val="00E602BF"/>
    <w:rsid w:val="00E669D8"/>
    <w:rsid w:val="00E706C8"/>
    <w:rsid w:val="00E710C4"/>
    <w:rsid w:val="00E71A0E"/>
    <w:rsid w:val="00E748B5"/>
    <w:rsid w:val="00E76204"/>
    <w:rsid w:val="00E778EA"/>
    <w:rsid w:val="00E82DC7"/>
    <w:rsid w:val="00E848A6"/>
    <w:rsid w:val="00E87B4F"/>
    <w:rsid w:val="00E904B5"/>
    <w:rsid w:val="00E905E0"/>
    <w:rsid w:val="00E94B8E"/>
    <w:rsid w:val="00E95100"/>
    <w:rsid w:val="00E959D9"/>
    <w:rsid w:val="00E97C57"/>
    <w:rsid w:val="00E97CAB"/>
    <w:rsid w:val="00EA15B6"/>
    <w:rsid w:val="00EA7907"/>
    <w:rsid w:val="00EB06BA"/>
    <w:rsid w:val="00EB1858"/>
    <w:rsid w:val="00EB4692"/>
    <w:rsid w:val="00EB5FB4"/>
    <w:rsid w:val="00EC1784"/>
    <w:rsid w:val="00EC182A"/>
    <w:rsid w:val="00EC49F4"/>
    <w:rsid w:val="00EC7DCE"/>
    <w:rsid w:val="00ED0150"/>
    <w:rsid w:val="00ED1219"/>
    <w:rsid w:val="00ED3B06"/>
    <w:rsid w:val="00ED7AA7"/>
    <w:rsid w:val="00ED7B28"/>
    <w:rsid w:val="00ED7D44"/>
    <w:rsid w:val="00EE1328"/>
    <w:rsid w:val="00EF313D"/>
    <w:rsid w:val="00EF368B"/>
    <w:rsid w:val="00EF5CD1"/>
    <w:rsid w:val="00F009B5"/>
    <w:rsid w:val="00F00A29"/>
    <w:rsid w:val="00F01BF1"/>
    <w:rsid w:val="00F02012"/>
    <w:rsid w:val="00F04733"/>
    <w:rsid w:val="00F249BF"/>
    <w:rsid w:val="00F26FCB"/>
    <w:rsid w:val="00F30C0A"/>
    <w:rsid w:val="00F40A92"/>
    <w:rsid w:val="00F41B00"/>
    <w:rsid w:val="00F42B16"/>
    <w:rsid w:val="00F50F1A"/>
    <w:rsid w:val="00F66F4A"/>
    <w:rsid w:val="00F70B59"/>
    <w:rsid w:val="00F71D6D"/>
    <w:rsid w:val="00F75D78"/>
    <w:rsid w:val="00F770D4"/>
    <w:rsid w:val="00F80FD1"/>
    <w:rsid w:val="00F81279"/>
    <w:rsid w:val="00F8161F"/>
    <w:rsid w:val="00F83263"/>
    <w:rsid w:val="00F84314"/>
    <w:rsid w:val="00F8481C"/>
    <w:rsid w:val="00F86745"/>
    <w:rsid w:val="00F9063F"/>
    <w:rsid w:val="00F968A9"/>
    <w:rsid w:val="00F9691A"/>
    <w:rsid w:val="00F97E66"/>
    <w:rsid w:val="00FA1009"/>
    <w:rsid w:val="00FA11A8"/>
    <w:rsid w:val="00FA14C8"/>
    <w:rsid w:val="00FA26E4"/>
    <w:rsid w:val="00FA2F15"/>
    <w:rsid w:val="00FB10E8"/>
    <w:rsid w:val="00FB1969"/>
    <w:rsid w:val="00FB20B3"/>
    <w:rsid w:val="00FB21D4"/>
    <w:rsid w:val="00FB543C"/>
    <w:rsid w:val="00FC1BFD"/>
    <w:rsid w:val="00FC2354"/>
    <w:rsid w:val="00FC7949"/>
    <w:rsid w:val="00FD0681"/>
    <w:rsid w:val="00FD0B22"/>
    <w:rsid w:val="00FD2FE4"/>
    <w:rsid w:val="00FD6B39"/>
    <w:rsid w:val="00FE0C68"/>
    <w:rsid w:val="00FE0FA5"/>
    <w:rsid w:val="00FE457A"/>
    <w:rsid w:val="00FF2A9A"/>
    <w:rsid w:val="00FF5683"/>
    <w:rsid w:val="33FE278B"/>
    <w:rsid w:val="3FF7E604"/>
    <w:rsid w:val="55F79B8A"/>
    <w:rsid w:val="57DE2033"/>
    <w:rsid w:val="7BF12898"/>
    <w:rsid w:val="7CCC0604"/>
    <w:rsid w:val="7FB8B6F5"/>
    <w:rsid w:val="7FFD03BE"/>
    <w:rsid w:val="BAFFC6CE"/>
    <w:rsid w:val="D7FB1DDA"/>
    <w:rsid w:val="DADDC49C"/>
    <w:rsid w:val="F3CE8DEA"/>
    <w:rsid w:val="FA38D1ED"/>
    <w:rsid w:val="FD5EE7C5"/>
    <w:rsid w:val="FF69A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200" w:after="200" w:line="276" w:lineRule="auto"/>
    </w:pPr>
    <w:rPr>
      <w:rFonts w:ascii="Calibri" w:hAnsi="Calibri" w:eastAsia="Times New Roman" w:cs="Times New Roman"/>
      <w:lang w:val="en-US" w:eastAsia="en-US" w:bidi="en-US"/>
    </w:rPr>
  </w:style>
  <w:style w:type="paragraph" w:styleId="2">
    <w:name w:val="heading 1"/>
    <w:basedOn w:val="1"/>
    <w:next w:val="1"/>
    <w:link w:val="32"/>
    <w:qFormat/>
    <w:uiPriority w:val="9"/>
    <w:pPr>
      <w:pBdr>
        <w:top w:val="single" w:color="auto" w:sz="24" w:space="1"/>
        <w:bottom w:val="single" w:color="auto" w:sz="24" w:space="0"/>
      </w:pBdr>
      <w:shd w:val="clear" w:color="auto" w:fill="FFFFFF"/>
      <w:spacing w:after="0"/>
      <w:outlineLvl w:val="0"/>
    </w:pPr>
    <w:rPr>
      <w:b/>
      <w:bCs/>
      <w:caps/>
      <w:spacing w:val="15"/>
      <w:sz w:val="22"/>
      <w:szCs w:val="22"/>
    </w:rPr>
  </w:style>
  <w:style w:type="paragraph" w:styleId="3">
    <w:name w:val="heading 2"/>
    <w:basedOn w:val="1"/>
    <w:next w:val="1"/>
    <w:link w:val="33"/>
    <w:unhideWhenUsed/>
    <w:qFormat/>
    <w:uiPriority w:val="9"/>
    <w:pPr>
      <w:pBdr>
        <w:top w:val="single" w:color="DBE5F1" w:sz="24" w:space="0"/>
        <w:left w:val="single" w:color="DBE5F1" w:sz="24" w:space="0"/>
        <w:bottom w:val="single" w:color="DBE5F1" w:sz="24" w:space="0"/>
        <w:right w:val="single" w:color="DBE5F1" w:sz="24" w:space="0"/>
      </w:pBdr>
      <w:shd w:val="clear" w:color="auto" w:fill="DBE5F1"/>
      <w:spacing w:after="0"/>
      <w:outlineLvl w:val="1"/>
    </w:pPr>
    <w:rPr>
      <w:caps/>
      <w:spacing w:val="15"/>
      <w:lang w:val="zh-CN" w:eastAsia="zh-CN" w:bidi="ar-SA"/>
    </w:rPr>
  </w:style>
  <w:style w:type="paragraph" w:styleId="4">
    <w:name w:val="heading 3"/>
    <w:basedOn w:val="1"/>
    <w:next w:val="1"/>
    <w:link w:val="34"/>
    <w:semiHidden/>
    <w:unhideWhenUsed/>
    <w:qFormat/>
    <w:uiPriority w:val="9"/>
    <w:pPr>
      <w:pBdr>
        <w:top w:val="single" w:color="4F81BD" w:sz="6" w:space="2"/>
        <w:left w:val="single" w:color="4F81BD" w:sz="6" w:space="2"/>
      </w:pBdr>
      <w:spacing w:before="300" w:after="0"/>
      <w:outlineLvl w:val="2"/>
    </w:pPr>
    <w:rPr>
      <w:caps/>
      <w:color w:val="243F60"/>
      <w:spacing w:val="15"/>
      <w:lang w:val="zh-CN" w:eastAsia="zh-CN" w:bidi="ar-SA"/>
    </w:rPr>
  </w:style>
  <w:style w:type="paragraph" w:styleId="5">
    <w:name w:val="heading 4"/>
    <w:basedOn w:val="1"/>
    <w:next w:val="1"/>
    <w:link w:val="35"/>
    <w:semiHidden/>
    <w:unhideWhenUsed/>
    <w:qFormat/>
    <w:uiPriority w:val="9"/>
    <w:pPr>
      <w:pBdr>
        <w:top w:val="dotted" w:color="4F81BD" w:sz="6" w:space="2"/>
        <w:left w:val="dotted" w:color="4F81BD" w:sz="6" w:space="2"/>
      </w:pBdr>
      <w:spacing w:before="300" w:after="0"/>
      <w:outlineLvl w:val="3"/>
    </w:pPr>
    <w:rPr>
      <w:caps/>
      <w:color w:val="365F91"/>
      <w:spacing w:val="10"/>
      <w:lang w:val="zh-CN" w:eastAsia="zh-CN" w:bidi="ar-SA"/>
    </w:rPr>
  </w:style>
  <w:style w:type="paragraph" w:styleId="6">
    <w:name w:val="heading 5"/>
    <w:basedOn w:val="1"/>
    <w:next w:val="1"/>
    <w:link w:val="36"/>
    <w:semiHidden/>
    <w:unhideWhenUsed/>
    <w:qFormat/>
    <w:uiPriority w:val="9"/>
    <w:pPr>
      <w:pBdr>
        <w:bottom w:val="single" w:color="4F81BD" w:sz="6" w:space="1"/>
      </w:pBdr>
      <w:spacing w:before="300" w:after="0"/>
      <w:outlineLvl w:val="4"/>
    </w:pPr>
    <w:rPr>
      <w:caps/>
      <w:color w:val="365F91"/>
      <w:spacing w:val="10"/>
      <w:lang w:val="zh-CN" w:eastAsia="zh-CN" w:bidi="ar-SA"/>
    </w:rPr>
  </w:style>
  <w:style w:type="paragraph" w:styleId="7">
    <w:name w:val="heading 6"/>
    <w:basedOn w:val="1"/>
    <w:next w:val="1"/>
    <w:link w:val="37"/>
    <w:semiHidden/>
    <w:unhideWhenUsed/>
    <w:qFormat/>
    <w:uiPriority w:val="9"/>
    <w:pPr>
      <w:pBdr>
        <w:bottom w:val="dotted" w:color="4F81BD" w:sz="6" w:space="1"/>
      </w:pBdr>
      <w:spacing w:before="300" w:after="0"/>
      <w:outlineLvl w:val="5"/>
    </w:pPr>
    <w:rPr>
      <w:caps/>
      <w:color w:val="365F91"/>
      <w:spacing w:val="10"/>
      <w:lang w:val="zh-CN" w:eastAsia="zh-CN" w:bidi="ar-SA"/>
    </w:rPr>
  </w:style>
  <w:style w:type="paragraph" w:styleId="8">
    <w:name w:val="heading 7"/>
    <w:basedOn w:val="1"/>
    <w:next w:val="1"/>
    <w:link w:val="38"/>
    <w:semiHidden/>
    <w:unhideWhenUsed/>
    <w:qFormat/>
    <w:uiPriority w:val="9"/>
    <w:pPr>
      <w:spacing w:before="300" w:after="0"/>
      <w:outlineLvl w:val="6"/>
    </w:pPr>
    <w:rPr>
      <w:caps/>
      <w:color w:val="365F91"/>
      <w:spacing w:val="10"/>
      <w:lang w:val="zh-CN" w:eastAsia="zh-CN" w:bidi="ar-SA"/>
    </w:rPr>
  </w:style>
  <w:style w:type="paragraph" w:styleId="9">
    <w:name w:val="heading 8"/>
    <w:basedOn w:val="1"/>
    <w:next w:val="1"/>
    <w:link w:val="39"/>
    <w:semiHidden/>
    <w:unhideWhenUsed/>
    <w:qFormat/>
    <w:uiPriority w:val="9"/>
    <w:pPr>
      <w:spacing w:before="300" w:after="0"/>
      <w:outlineLvl w:val="7"/>
    </w:pPr>
    <w:rPr>
      <w:caps/>
      <w:spacing w:val="10"/>
      <w:sz w:val="18"/>
      <w:szCs w:val="18"/>
      <w:lang w:val="zh-CN" w:eastAsia="zh-CN" w:bidi="ar-SA"/>
    </w:rPr>
  </w:style>
  <w:style w:type="paragraph" w:styleId="10">
    <w:name w:val="heading 9"/>
    <w:basedOn w:val="1"/>
    <w:next w:val="1"/>
    <w:link w:val="40"/>
    <w:semiHidden/>
    <w:unhideWhenUsed/>
    <w:qFormat/>
    <w:uiPriority w:val="9"/>
    <w:pPr>
      <w:spacing w:before="300" w:after="0"/>
      <w:outlineLvl w:val="8"/>
    </w:pPr>
    <w:rPr>
      <w:i/>
      <w:caps/>
      <w:spacing w:val="10"/>
      <w:sz w:val="18"/>
      <w:szCs w:val="18"/>
      <w:lang w:val="zh-CN" w:eastAsia="zh-CN" w:bidi="ar-SA"/>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semiHidden/>
    <w:qFormat/>
    <w:uiPriority w:val="0"/>
    <w:rPr>
      <w:rFonts w:ascii="Tahoma" w:hAnsi="Tahoma" w:cs="Tahoma"/>
      <w:sz w:val="16"/>
      <w:szCs w:val="16"/>
    </w:rPr>
  </w:style>
  <w:style w:type="paragraph" w:styleId="14">
    <w:name w:val="Body Text"/>
    <w:basedOn w:val="1"/>
    <w:link w:val="56"/>
    <w:unhideWhenUsed/>
    <w:qFormat/>
    <w:uiPriority w:val="0"/>
    <w:pPr>
      <w:spacing w:before="0" w:after="0" w:line="240" w:lineRule="auto"/>
      <w:jc w:val="both"/>
    </w:pPr>
    <w:rPr>
      <w:rFonts w:ascii="Times New Roman" w:hAnsi="Times New Roman"/>
      <w:sz w:val="24"/>
      <w:lang w:val="sl-SI" w:bidi="ar-SA"/>
    </w:rPr>
  </w:style>
  <w:style w:type="paragraph" w:styleId="15">
    <w:name w:val="caption"/>
    <w:basedOn w:val="1"/>
    <w:next w:val="1"/>
    <w:semiHidden/>
    <w:unhideWhenUsed/>
    <w:qFormat/>
    <w:uiPriority w:val="35"/>
    <w:rPr>
      <w:b/>
      <w:bCs/>
      <w:color w:val="365F91"/>
      <w:sz w:val="16"/>
      <w:szCs w:val="16"/>
    </w:rPr>
  </w:style>
  <w:style w:type="character" w:styleId="16">
    <w:name w:val="annotation reference"/>
    <w:semiHidden/>
    <w:qFormat/>
    <w:uiPriority w:val="0"/>
    <w:rPr>
      <w:sz w:val="16"/>
      <w:szCs w:val="16"/>
    </w:rPr>
  </w:style>
  <w:style w:type="paragraph" w:styleId="17">
    <w:name w:val="annotation text"/>
    <w:basedOn w:val="1"/>
    <w:semiHidden/>
    <w:qFormat/>
    <w:uiPriority w:val="0"/>
  </w:style>
  <w:style w:type="paragraph" w:styleId="18">
    <w:name w:val="annotation subject"/>
    <w:basedOn w:val="17"/>
    <w:next w:val="17"/>
    <w:semiHidden/>
    <w:qFormat/>
    <w:uiPriority w:val="0"/>
    <w:rPr>
      <w:b/>
      <w:bCs/>
    </w:rPr>
  </w:style>
  <w:style w:type="character" w:styleId="19">
    <w:name w:val="Emphasis"/>
    <w:qFormat/>
    <w:uiPriority w:val="20"/>
    <w:rPr>
      <w:caps/>
      <w:color w:val="243F60"/>
      <w:spacing w:val="5"/>
    </w:rPr>
  </w:style>
  <w:style w:type="paragraph" w:styleId="20">
    <w:name w:val="footer"/>
    <w:basedOn w:val="1"/>
    <w:link w:val="31"/>
    <w:qFormat/>
    <w:uiPriority w:val="99"/>
    <w:pPr>
      <w:tabs>
        <w:tab w:val="center" w:pos="4320"/>
        <w:tab w:val="right" w:pos="8640"/>
      </w:tabs>
    </w:pPr>
    <w:rPr>
      <w:sz w:val="22"/>
      <w:szCs w:val="24"/>
      <w:lang w:val="zh-CN" w:eastAsia="zh-CN" w:bidi="ar-SA"/>
    </w:rPr>
  </w:style>
  <w:style w:type="paragraph" w:styleId="21">
    <w:name w:val="header"/>
    <w:basedOn w:val="1"/>
    <w:qFormat/>
    <w:uiPriority w:val="0"/>
    <w:pPr>
      <w:tabs>
        <w:tab w:val="center" w:pos="4320"/>
        <w:tab w:val="right" w:pos="8640"/>
      </w:tabs>
    </w:pPr>
  </w:style>
  <w:style w:type="paragraph" w:styleId="22">
    <w:name w:val="HTML Preformatted"/>
    <w:basedOn w:val="1"/>
    <w:link w:val="58"/>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hAnsi="Courier New" w:cs="Courier New"/>
      <w:lang w:bidi="ar-SA"/>
    </w:rPr>
  </w:style>
  <w:style w:type="character" w:styleId="23">
    <w:name w:val="Hyperlink"/>
    <w:unhideWhenUsed/>
    <w:qFormat/>
    <w:uiPriority w:val="0"/>
    <w:rPr>
      <w:color w:val="0000FF"/>
      <w:u w:val="single"/>
    </w:rPr>
  </w:style>
  <w:style w:type="character" w:styleId="24">
    <w:name w:val="page number"/>
    <w:basedOn w:val="11"/>
    <w:qFormat/>
    <w:uiPriority w:val="0"/>
  </w:style>
  <w:style w:type="character" w:styleId="25">
    <w:name w:val="Strong"/>
    <w:qFormat/>
    <w:uiPriority w:val="22"/>
    <w:rPr>
      <w:b/>
      <w:bCs/>
    </w:rPr>
  </w:style>
  <w:style w:type="paragraph" w:styleId="26">
    <w:name w:val="Subtitle"/>
    <w:basedOn w:val="1"/>
    <w:next w:val="1"/>
    <w:link w:val="42"/>
    <w:qFormat/>
    <w:uiPriority w:val="11"/>
    <w:pPr>
      <w:spacing w:after="1000" w:line="240" w:lineRule="auto"/>
    </w:pPr>
    <w:rPr>
      <w:caps/>
      <w:color w:val="595959"/>
      <w:spacing w:val="10"/>
      <w:sz w:val="24"/>
      <w:szCs w:val="24"/>
      <w:lang w:val="zh-CN" w:eastAsia="zh-CN" w:bidi="ar-SA"/>
    </w:rPr>
  </w:style>
  <w:style w:type="table" w:styleId="27">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8">
    <w:name w:val="Title"/>
    <w:basedOn w:val="1"/>
    <w:next w:val="1"/>
    <w:link w:val="41"/>
    <w:qFormat/>
    <w:uiPriority w:val="10"/>
    <w:pPr>
      <w:spacing w:before="720"/>
    </w:pPr>
    <w:rPr>
      <w:caps/>
      <w:color w:val="4F81BD"/>
      <w:spacing w:val="10"/>
      <w:kern w:val="28"/>
      <w:sz w:val="52"/>
      <w:szCs w:val="52"/>
      <w:lang w:val="zh-CN" w:eastAsia="zh-CN" w:bidi="ar-SA"/>
    </w:rPr>
  </w:style>
  <w:style w:type="paragraph" w:customStyle="1" w:styleId="29">
    <w:name w:val="Style Heading 1 + Centered"/>
    <w:basedOn w:val="2"/>
    <w:qFormat/>
    <w:uiPriority w:val="0"/>
    <w:pPr>
      <w:jc w:val="center"/>
    </w:pPr>
    <w:rPr>
      <w:sz w:val="28"/>
      <w:szCs w:val="20"/>
    </w:rPr>
  </w:style>
  <w:style w:type="paragraph" w:customStyle="1" w:styleId="30">
    <w:name w:val="Style Style Heading 1 + Centered + Left Left:  0 mm Hanging:  23 ..."/>
    <w:basedOn w:val="29"/>
    <w:next w:val="1"/>
    <w:qFormat/>
    <w:uiPriority w:val="0"/>
    <w:pPr>
      <w:spacing w:before="480" w:after="480"/>
      <w:ind w:left="1304" w:hanging="1304"/>
      <w:jc w:val="left"/>
    </w:pPr>
  </w:style>
  <w:style w:type="character" w:customStyle="1" w:styleId="31">
    <w:name w:val="Footer Char"/>
    <w:link w:val="20"/>
    <w:qFormat/>
    <w:uiPriority w:val="99"/>
    <w:rPr>
      <w:sz w:val="22"/>
      <w:szCs w:val="24"/>
    </w:rPr>
  </w:style>
  <w:style w:type="character" w:customStyle="1" w:styleId="32">
    <w:name w:val="Heading 1 Char"/>
    <w:link w:val="2"/>
    <w:qFormat/>
    <w:uiPriority w:val="9"/>
    <w:rPr>
      <w:b/>
      <w:bCs/>
      <w:caps/>
      <w:spacing w:val="15"/>
      <w:sz w:val="22"/>
      <w:szCs w:val="22"/>
      <w:shd w:val="clear" w:color="auto" w:fill="FFFFFF"/>
      <w:lang w:val="en-US" w:eastAsia="en-US" w:bidi="en-US"/>
    </w:rPr>
  </w:style>
  <w:style w:type="character" w:customStyle="1" w:styleId="33">
    <w:name w:val="Heading 2 Char"/>
    <w:link w:val="3"/>
    <w:qFormat/>
    <w:uiPriority w:val="9"/>
    <w:rPr>
      <w:caps/>
      <w:spacing w:val="15"/>
      <w:shd w:val="clear" w:color="auto" w:fill="DBE5F1"/>
    </w:rPr>
  </w:style>
  <w:style w:type="character" w:customStyle="1" w:styleId="34">
    <w:name w:val="Heading 3 Char"/>
    <w:link w:val="4"/>
    <w:semiHidden/>
    <w:qFormat/>
    <w:uiPriority w:val="9"/>
    <w:rPr>
      <w:caps/>
      <w:color w:val="243F60"/>
      <w:spacing w:val="15"/>
    </w:rPr>
  </w:style>
  <w:style w:type="character" w:customStyle="1" w:styleId="35">
    <w:name w:val="Heading 4 Char"/>
    <w:link w:val="5"/>
    <w:semiHidden/>
    <w:qFormat/>
    <w:uiPriority w:val="9"/>
    <w:rPr>
      <w:caps/>
      <w:color w:val="365F91"/>
      <w:spacing w:val="10"/>
    </w:rPr>
  </w:style>
  <w:style w:type="character" w:customStyle="1" w:styleId="36">
    <w:name w:val="Heading 5 Char"/>
    <w:link w:val="6"/>
    <w:semiHidden/>
    <w:qFormat/>
    <w:uiPriority w:val="9"/>
    <w:rPr>
      <w:caps/>
      <w:color w:val="365F91"/>
      <w:spacing w:val="10"/>
    </w:rPr>
  </w:style>
  <w:style w:type="character" w:customStyle="1" w:styleId="37">
    <w:name w:val="Heading 6 Char"/>
    <w:link w:val="7"/>
    <w:semiHidden/>
    <w:qFormat/>
    <w:uiPriority w:val="9"/>
    <w:rPr>
      <w:caps/>
      <w:color w:val="365F91"/>
      <w:spacing w:val="10"/>
    </w:rPr>
  </w:style>
  <w:style w:type="character" w:customStyle="1" w:styleId="38">
    <w:name w:val="Heading 7 Char"/>
    <w:link w:val="8"/>
    <w:semiHidden/>
    <w:qFormat/>
    <w:uiPriority w:val="9"/>
    <w:rPr>
      <w:caps/>
      <w:color w:val="365F91"/>
      <w:spacing w:val="10"/>
    </w:rPr>
  </w:style>
  <w:style w:type="character" w:customStyle="1" w:styleId="39">
    <w:name w:val="Heading 8 Char"/>
    <w:link w:val="9"/>
    <w:semiHidden/>
    <w:qFormat/>
    <w:uiPriority w:val="9"/>
    <w:rPr>
      <w:caps/>
      <w:spacing w:val="10"/>
      <w:sz w:val="18"/>
      <w:szCs w:val="18"/>
    </w:rPr>
  </w:style>
  <w:style w:type="character" w:customStyle="1" w:styleId="40">
    <w:name w:val="Heading 9 Char"/>
    <w:link w:val="10"/>
    <w:semiHidden/>
    <w:qFormat/>
    <w:uiPriority w:val="9"/>
    <w:rPr>
      <w:i/>
      <w:caps/>
      <w:spacing w:val="10"/>
      <w:sz w:val="18"/>
      <w:szCs w:val="18"/>
    </w:rPr>
  </w:style>
  <w:style w:type="character" w:customStyle="1" w:styleId="41">
    <w:name w:val="Title Char"/>
    <w:link w:val="28"/>
    <w:qFormat/>
    <w:uiPriority w:val="10"/>
    <w:rPr>
      <w:caps/>
      <w:color w:val="4F81BD"/>
      <w:spacing w:val="10"/>
      <w:kern w:val="28"/>
      <w:sz w:val="52"/>
      <w:szCs w:val="52"/>
    </w:rPr>
  </w:style>
  <w:style w:type="character" w:customStyle="1" w:styleId="42">
    <w:name w:val="Subtitle Char"/>
    <w:link w:val="26"/>
    <w:qFormat/>
    <w:uiPriority w:val="11"/>
    <w:rPr>
      <w:caps/>
      <w:color w:val="595959"/>
      <w:spacing w:val="10"/>
      <w:sz w:val="24"/>
      <w:szCs w:val="24"/>
    </w:rPr>
  </w:style>
  <w:style w:type="paragraph" w:styleId="43">
    <w:name w:val="No Spacing"/>
    <w:basedOn w:val="1"/>
    <w:link w:val="44"/>
    <w:qFormat/>
    <w:uiPriority w:val="1"/>
    <w:pPr>
      <w:spacing w:before="0" w:after="0" w:line="240" w:lineRule="auto"/>
    </w:pPr>
    <w:rPr>
      <w:lang w:val="zh-CN" w:eastAsia="zh-CN" w:bidi="ar-SA"/>
    </w:rPr>
  </w:style>
  <w:style w:type="character" w:customStyle="1" w:styleId="44">
    <w:name w:val="No Spacing Char"/>
    <w:link w:val="43"/>
    <w:qFormat/>
    <w:uiPriority w:val="1"/>
    <w:rPr>
      <w:sz w:val="20"/>
      <w:szCs w:val="20"/>
    </w:rPr>
  </w:style>
  <w:style w:type="paragraph" w:styleId="45">
    <w:name w:val="List Paragraph"/>
    <w:basedOn w:val="1"/>
    <w:qFormat/>
    <w:uiPriority w:val="34"/>
    <w:pPr>
      <w:ind w:left="720"/>
      <w:contextualSpacing/>
    </w:pPr>
  </w:style>
  <w:style w:type="paragraph" w:styleId="46">
    <w:name w:val="Quote"/>
    <w:basedOn w:val="1"/>
    <w:next w:val="1"/>
    <w:link w:val="47"/>
    <w:qFormat/>
    <w:uiPriority w:val="29"/>
    <w:rPr>
      <w:i/>
      <w:iCs/>
      <w:lang w:val="zh-CN" w:eastAsia="zh-CN" w:bidi="ar-SA"/>
    </w:rPr>
  </w:style>
  <w:style w:type="character" w:customStyle="1" w:styleId="47">
    <w:name w:val="Quote Char"/>
    <w:link w:val="46"/>
    <w:qFormat/>
    <w:uiPriority w:val="29"/>
    <w:rPr>
      <w:i/>
      <w:iCs/>
      <w:sz w:val="20"/>
      <w:szCs w:val="20"/>
    </w:rPr>
  </w:style>
  <w:style w:type="paragraph" w:styleId="48">
    <w:name w:val="Intense Quote"/>
    <w:basedOn w:val="1"/>
    <w:next w:val="1"/>
    <w:link w:val="49"/>
    <w:qFormat/>
    <w:uiPriority w:val="30"/>
    <w:pPr>
      <w:pBdr>
        <w:top w:val="single" w:color="4F81BD" w:sz="4" w:space="10"/>
        <w:left w:val="single" w:color="4F81BD" w:sz="4" w:space="10"/>
      </w:pBdr>
      <w:spacing w:after="0"/>
      <w:ind w:left="1296" w:right="1152"/>
      <w:jc w:val="both"/>
    </w:pPr>
    <w:rPr>
      <w:i/>
      <w:iCs/>
      <w:color w:val="4F81BD"/>
      <w:lang w:val="zh-CN" w:eastAsia="zh-CN" w:bidi="ar-SA"/>
    </w:rPr>
  </w:style>
  <w:style w:type="character" w:customStyle="1" w:styleId="49">
    <w:name w:val="Intense Quote Char"/>
    <w:link w:val="48"/>
    <w:qFormat/>
    <w:uiPriority w:val="30"/>
    <w:rPr>
      <w:i/>
      <w:iCs/>
      <w:color w:val="4F81BD"/>
      <w:sz w:val="20"/>
      <w:szCs w:val="20"/>
    </w:rPr>
  </w:style>
  <w:style w:type="character" w:customStyle="1" w:styleId="50">
    <w:name w:val="Subtle Emphasis1"/>
    <w:qFormat/>
    <w:uiPriority w:val="19"/>
    <w:rPr>
      <w:i/>
      <w:iCs/>
      <w:color w:val="243F60"/>
    </w:rPr>
  </w:style>
  <w:style w:type="character" w:customStyle="1" w:styleId="51">
    <w:name w:val="Intense Emphasis1"/>
    <w:qFormat/>
    <w:uiPriority w:val="21"/>
    <w:rPr>
      <w:b/>
      <w:bCs/>
      <w:caps/>
      <w:color w:val="243F60"/>
      <w:spacing w:val="10"/>
    </w:rPr>
  </w:style>
  <w:style w:type="character" w:customStyle="1" w:styleId="52">
    <w:name w:val="Subtle Reference1"/>
    <w:qFormat/>
    <w:uiPriority w:val="31"/>
    <w:rPr>
      <w:b/>
      <w:bCs/>
      <w:color w:val="4F81BD"/>
    </w:rPr>
  </w:style>
  <w:style w:type="character" w:customStyle="1" w:styleId="53">
    <w:name w:val="Intense Reference1"/>
    <w:qFormat/>
    <w:uiPriority w:val="32"/>
    <w:rPr>
      <w:b/>
      <w:bCs/>
      <w:i/>
      <w:iCs/>
      <w:caps/>
      <w:color w:val="4F81BD"/>
    </w:rPr>
  </w:style>
  <w:style w:type="character" w:customStyle="1" w:styleId="54">
    <w:name w:val="Book Title1"/>
    <w:qFormat/>
    <w:uiPriority w:val="33"/>
    <w:rPr>
      <w:b/>
      <w:bCs/>
      <w:i/>
      <w:iCs/>
      <w:spacing w:val="9"/>
    </w:rPr>
  </w:style>
  <w:style w:type="paragraph" w:customStyle="1" w:styleId="55">
    <w:name w:val="TOC Heading1"/>
    <w:basedOn w:val="2"/>
    <w:next w:val="1"/>
    <w:semiHidden/>
    <w:unhideWhenUsed/>
    <w:qFormat/>
    <w:uiPriority w:val="39"/>
    <w:pPr>
      <w:outlineLvl w:val="9"/>
    </w:pPr>
  </w:style>
  <w:style w:type="character" w:customStyle="1" w:styleId="56">
    <w:name w:val="Body Text Char"/>
    <w:link w:val="14"/>
    <w:qFormat/>
    <w:uiPriority w:val="0"/>
    <w:rPr>
      <w:rFonts w:ascii="Times New Roman" w:hAnsi="Times New Roman"/>
      <w:sz w:val="24"/>
      <w:lang w:val="sl-SI"/>
    </w:rPr>
  </w:style>
  <w:style w:type="character" w:customStyle="1" w:styleId="57">
    <w:name w:val="Unresolved Mention1"/>
    <w:basedOn w:val="11"/>
    <w:semiHidden/>
    <w:unhideWhenUsed/>
    <w:qFormat/>
    <w:uiPriority w:val="99"/>
    <w:rPr>
      <w:color w:val="605E5C"/>
      <w:shd w:val="clear" w:color="auto" w:fill="E1DFDD"/>
    </w:rPr>
  </w:style>
  <w:style w:type="character" w:customStyle="1" w:styleId="58">
    <w:name w:val="HTML Preformatted Char"/>
    <w:basedOn w:val="11"/>
    <w:link w:val="22"/>
    <w:semiHidden/>
    <w:qFormat/>
    <w:uiPriority w:val="99"/>
    <w:rPr>
      <w:rFonts w:ascii="Courier New" w:hAnsi="Courier New" w:cs="Courier New"/>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2022</Words>
  <Characters>11528</Characters>
  <Lines>96</Lines>
  <Paragraphs>27</Paragraphs>
  <TotalTime>1</TotalTime>
  <ScaleCrop>false</ScaleCrop>
  <LinksUpToDate>false</LinksUpToDate>
  <CharactersWithSpaces>13523</CharactersWithSpaces>
  <Application>WPS Office_11.1.0.11723_F1E327BC-269C-435d-A152-05C5408002CA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2025-07-23T17:44:00Z</dcterms:created>
  <dc:creator>Vera</dc:creator>
  <cp:lastModifiedBy>referada</cp:lastModifiedBy>
  <cp:lastPrinted>2025-07-23T17:56:00Z</cp:lastPrinted>
  <dcterms:modified xsi:type="dcterms:W3CDTF">2026-07-20T10:02:34Z</dcterms:modified>
  <dc:title>VISOKA TEHNIČKA ŠKOLA</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1033-11.1.0.11723</vt:lpwstr>
  </property>
</Properties>
</file>