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ED7B9" w14:textId="77777777" w:rsidR="00910DC1" w:rsidRPr="00FA1910" w:rsidRDefault="00910DC1" w:rsidP="00910DC1">
      <w:pPr>
        <w:spacing w:before="150" w:after="150" w:line="240" w:lineRule="auto"/>
        <w:outlineLvl w:val="3"/>
        <w:rPr>
          <w:rFonts w:eastAsia="Times New Roman" w:cs="Calibri"/>
          <w:b/>
        </w:rPr>
      </w:pPr>
      <w:r w:rsidRPr="00FA1910">
        <w:rPr>
          <w:rFonts w:eastAsia="Times New Roman" w:cs="Calibri"/>
          <w:b/>
        </w:rPr>
        <w:t>Embedded Systems (ECTS 6)</w:t>
      </w:r>
    </w:p>
    <w:p w14:paraId="53669B03" w14:textId="498F3B67" w:rsidR="00910DC1" w:rsidRDefault="00910DC1" w:rsidP="00910DC1">
      <w:pPr>
        <w:pStyle w:val="NormalWeb"/>
        <w:spacing w:before="0" w:after="158"/>
        <w:rPr>
          <w:rStyle w:val="shorttext2"/>
          <w:rFonts w:ascii="Calibri" w:hAnsi="Calibri"/>
          <w:sz w:val="22"/>
          <w:szCs w:val="22"/>
        </w:rPr>
      </w:pPr>
      <w:r w:rsidRPr="00FA1910">
        <w:rPr>
          <w:rStyle w:val="shorttext2"/>
          <w:rFonts w:ascii="Calibri" w:hAnsi="Calibri"/>
          <w:sz w:val="22"/>
          <w:szCs w:val="22"/>
        </w:rPr>
        <w:t>Language: the course is offered in English, Serbian and Hungarian.</w:t>
      </w:r>
    </w:p>
    <w:p w14:paraId="51B61622" w14:textId="77777777" w:rsidR="00C71CB1" w:rsidRDefault="00C71CB1" w:rsidP="00C71CB1">
      <w:pPr>
        <w:pStyle w:val="NormalWeb"/>
        <w:rPr>
          <w:rStyle w:val="shorttext2"/>
          <w:rFonts w:asciiTheme="minorHAnsi" w:hAnsiTheme="minorHAnsi"/>
          <w:sz w:val="22"/>
          <w:szCs w:val="22"/>
        </w:rPr>
      </w:pPr>
      <w:r>
        <w:rPr>
          <w:rStyle w:val="shorttext2"/>
          <w:rFonts w:asciiTheme="minorHAnsi" w:hAnsiTheme="minorHAnsi"/>
          <w:sz w:val="22"/>
          <w:szCs w:val="22"/>
        </w:rPr>
        <w:t>Contact person: Dr. Lívia Szedmina (slivia@vts.su.ac.rs)</w:t>
      </w:r>
    </w:p>
    <w:p w14:paraId="16E6CCF1" w14:textId="77777777" w:rsidR="00C71CB1" w:rsidRPr="00FA1910" w:rsidRDefault="00C71CB1" w:rsidP="00910DC1">
      <w:pPr>
        <w:pStyle w:val="NormalWeb"/>
        <w:spacing w:before="0" w:after="158"/>
        <w:rPr>
          <w:rStyle w:val="shorttext2"/>
        </w:rPr>
      </w:pPr>
    </w:p>
    <w:p w14:paraId="2255B4E2" w14:textId="77777777" w:rsidR="00910DC1" w:rsidRPr="00FA1910" w:rsidRDefault="00910DC1" w:rsidP="00910DC1">
      <w:p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  <w:b/>
          <w:bCs/>
          <w:u w:val="single"/>
        </w:rPr>
        <w:t>Course description:</w:t>
      </w:r>
    </w:p>
    <w:p w14:paraId="4D090011" w14:textId="77777777" w:rsidR="00910DC1" w:rsidRPr="00FA1910" w:rsidRDefault="00910DC1" w:rsidP="00910DC1">
      <w:p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>The course includes a description of basic and dedicated computer architectures and the differences between them. A description of the structure of the system and its programming is given. Peripheral elements are listed as well as appropriate measuring instrumentation for measuring electrical and non-electrical quantities. The course also includes designing and assembling PCB boards.</w:t>
      </w:r>
    </w:p>
    <w:p w14:paraId="6D546E54" w14:textId="77777777" w:rsidR="00910DC1" w:rsidRPr="00FA1910" w:rsidRDefault="00910DC1" w:rsidP="00910DC1">
      <w:pPr>
        <w:spacing w:after="158" w:line="240" w:lineRule="auto"/>
        <w:rPr>
          <w:rFonts w:eastAsia="Times New Roman" w:cs="Calibri"/>
          <w:shd w:val="clear" w:color="auto" w:fill="FFFFFF"/>
        </w:rPr>
      </w:pPr>
      <w:r w:rsidRPr="00FA1910">
        <w:rPr>
          <w:rFonts w:eastAsia="Times New Roman" w:cs="Calibri"/>
          <w:shd w:val="clear" w:color="auto" w:fill="FFFFFF"/>
        </w:rPr>
        <w:t>This course would cover the following topics, both as lectures and exercises:</w:t>
      </w:r>
    </w:p>
    <w:p w14:paraId="5B198AC5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>Introduction to computer architecture</w:t>
      </w:r>
    </w:p>
    <w:p w14:paraId="7DED83F3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>Digital Signal Processors</w:t>
      </w:r>
    </w:p>
    <w:p w14:paraId="1BEC000F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 xml:space="preserve">Assembly languages </w:t>
      </w:r>
    </w:p>
    <w:p w14:paraId="47CAFFD0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  <w:shd w:val="clear" w:color="auto" w:fill="FFFFFF"/>
        </w:rPr>
        <w:t>Electronic elements</w:t>
      </w:r>
    </w:p>
    <w:p w14:paraId="51C4A986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 xml:space="preserve">Voltage and current sources </w:t>
      </w:r>
    </w:p>
    <w:p w14:paraId="00A86727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>Measurement tools</w:t>
      </w:r>
    </w:p>
    <w:p w14:paraId="578A051B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>Measurement of electrical quantities</w:t>
      </w:r>
    </w:p>
    <w:p w14:paraId="64F2B0A7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>Measurement of non-electrical quantities</w:t>
      </w:r>
    </w:p>
    <w:p w14:paraId="4D6FE5C9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>AD and DA converters</w:t>
      </w:r>
    </w:p>
    <w:p w14:paraId="58CF382B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>PCB Design</w:t>
      </w:r>
    </w:p>
    <w:p w14:paraId="20AAB5E5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 xml:space="preserve">Soldering </w:t>
      </w:r>
    </w:p>
    <w:p w14:paraId="5010D7B9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 xml:space="preserve">Peripherals in embedded system </w:t>
      </w:r>
    </w:p>
    <w:p w14:paraId="3130C3A0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>IrAD  and USB peripheries</w:t>
      </w:r>
    </w:p>
    <w:p w14:paraId="36CDAEC9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</w:rPr>
        <w:t xml:space="preserve">Networking </w:t>
      </w:r>
    </w:p>
    <w:p w14:paraId="0BB730CF" w14:textId="77777777" w:rsidR="00910DC1" w:rsidRPr="00FA1910" w:rsidRDefault="00910DC1" w:rsidP="00910DC1">
      <w:pPr>
        <w:pStyle w:val="ListParagraph"/>
        <w:numPr>
          <w:ilvl w:val="0"/>
          <w:numId w:val="1"/>
        </w:num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  <w:shd w:val="clear" w:color="auto" w:fill="FFFFFF"/>
        </w:rPr>
        <w:t>Closing remarks</w:t>
      </w:r>
    </w:p>
    <w:p w14:paraId="0DD83C3C" w14:textId="77777777" w:rsidR="00910DC1" w:rsidRPr="00FA1910" w:rsidRDefault="00910DC1" w:rsidP="00910DC1">
      <w:pPr>
        <w:spacing w:after="158" w:line="240" w:lineRule="auto"/>
        <w:rPr>
          <w:rFonts w:eastAsia="Times New Roman" w:cs="Calibri"/>
        </w:rPr>
      </w:pPr>
      <w:r w:rsidRPr="00FA1910">
        <w:rPr>
          <w:rFonts w:eastAsia="Times New Roman" w:cs="Calibri"/>
          <w:b/>
          <w:bCs/>
          <w:u w:val="single"/>
          <w:shd w:val="clear" w:color="auto" w:fill="FFFFFF"/>
        </w:rPr>
        <w:t>Aims:</w:t>
      </w:r>
    </w:p>
    <w:p w14:paraId="3B8B84C4" w14:textId="77777777" w:rsidR="00910DC1" w:rsidRPr="00FA1910" w:rsidRDefault="00910DC1" w:rsidP="00910DC1">
      <w:pPr>
        <w:spacing w:after="158" w:line="240" w:lineRule="auto"/>
        <w:rPr>
          <w:rFonts w:eastAsia="Times New Roman" w:cs="Calibri"/>
          <w:shd w:val="clear" w:color="auto" w:fill="FFFFFF"/>
        </w:rPr>
      </w:pPr>
      <w:r w:rsidRPr="00FA1910">
        <w:rPr>
          <w:rFonts w:eastAsia="Times New Roman" w:cs="Calibri"/>
          <w:shd w:val="clear" w:color="auto" w:fill="FFFFFF"/>
        </w:rPr>
        <w:t xml:space="preserve">The goals are the following: </w:t>
      </w:r>
    </w:p>
    <w:p w14:paraId="72712B2B" w14:textId="77777777" w:rsidR="00910DC1" w:rsidRPr="00FA1910" w:rsidRDefault="00910DC1" w:rsidP="00910DC1">
      <w:r w:rsidRPr="00FA1910">
        <w:rPr>
          <w:rFonts w:eastAsia="Times New Roman" w:cs="Calibri"/>
        </w:rPr>
        <w:t>The ability to select and adapt peripherals to a given computer architecture. Ability of machine programming of the designed system. Understanding the working principles of peripheral elements for measuring physical quantities. Ability to connect the designed architecture with a more complex network system.</w:t>
      </w:r>
    </w:p>
    <w:p w14:paraId="7A91F3E6" w14:textId="77777777" w:rsidR="006A1D94" w:rsidRPr="00FA1910" w:rsidRDefault="006A1D94"/>
    <w:sectPr w:rsidR="006A1D94" w:rsidRPr="00FA1910" w:rsidSect="005F660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00DC3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DC1"/>
    <w:rsid w:val="006A1D94"/>
    <w:rsid w:val="00910DC1"/>
    <w:rsid w:val="00C71CB1"/>
    <w:rsid w:val="00F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BFB1"/>
  <w15:docId w15:val="{AA27F54A-F19A-4844-B8F5-8CCA599A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DC1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910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horttext2">
    <w:name w:val="short_text2"/>
    <w:basedOn w:val="DefaultParagraphFont"/>
    <w:rsid w:val="00910DC1"/>
  </w:style>
  <w:style w:type="paragraph" w:styleId="ListParagraph">
    <w:name w:val="List Paragraph"/>
    <w:basedOn w:val="Normal"/>
    <w:uiPriority w:val="34"/>
    <w:qFormat/>
    <w:rsid w:val="0091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>Grizli777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Nandor Burany</dc:creator>
  <cp:keywords/>
  <dc:description/>
  <cp:lastModifiedBy>slivia</cp:lastModifiedBy>
  <cp:revision>4</cp:revision>
  <dcterms:created xsi:type="dcterms:W3CDTF">2020-07-23T20:00:00Z</dcterms:created>
  <dcterms:modified xsi:type="dcterms:W3CDTF">2020-08-10T12:52:00Z</dcterms:modified>
</cp:coreProperties>
</file>